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3FAAC" w14:textId="77777777" w:rsidR="00063E15" w:rsidRPr="008969AB" w:rsidRDefault="00063E15" w:rsidP="008314D1">
      <w:pPr>
        <w:pStyle w:val="Title"/>
        <w:pBdr>
          <w:bottom w:val="double" w:sz="6" w:space="0" w:color="auto"/>
        </w:pBdr>
      </w:pPr>
      <w:r w:rsidRPr="008969AB">
        <w:t>М И Н И С Т Е Р С Т В О   Н А   Ф И Н А Н С И Т Е</w:t>
      </w:r>
    </w:p>
    <w:p w14:paraId="342459D3" w14:textId="77777777" w:rsidR="005F7245" w:rsidRPr="00716094" w:rsidRDefault="005F7245" w:rsidP="00063E15">
      <w:pPr>
        <w:rPr>
          <w:color w:val="0070C0"/>
          <w:sz w:val="16"/>
          <w:szCs w:val="16"/>
        </w:rPr>
      </w:pPr>
    </w:p>
    <w:p w14:paraId="7196B61C" w14:textId="77777777" w:rsidR="0019151C" w:rsidRPr="00716094" w:rsidRDefault="0019151C" w:rsidP="0019151C">
      <w:pPr>
        <w:rPr>
          <w:color w:val="0070C0"/>
        </w:rPr>
      </w:pPr>
    </w:p>
    <w:p w14:paraId="3DD554CC" w14:textId="77777777" w:rsidR="00E10331" w:rsidRPr="00716094" w:rsidRDefault="00E10331" w:rsidP="0019151C">
      <w:pPr>
        <w:rPr>
          <w:color w:val="0070C0"/>
        </w:rPr>
      </w:pPr>
    </w:p>
    <w:p w14:paraId="3C22DD11" w14:textId="77777777" w:rsidR="00E9260C" w:rsidRPr="008D7032" w:rsidRDefault="00E9260C" w:rsidP="009B536C">
      <w:pPr>
        <w:pStyle w:val="Heading1"/>
        <w:rPr>
          <w:sz w:val="24"/>
        </w:rPr>
      </w:pPr>
      <w:r w:rsidRPr="008D7032">
        <w:rPr>
          <w:sz w:val="24"/>
        </w:rPr>
        <w:t>ИНФОРМАЦИЯ</w:t>
      </w:r>
    </w:p>
    <w:p w14:paraId="2087AF8B" w14:textId="77777777" w:rsidR="00E9260C" w:rsidRPr="008D7032" w:rsidRDefault="00E9260C" w:rsidP="009B536C">
      <w:pPr>
        <w:jc w:val="center"/>
        <w:rPr>
          <w:b/>
          <w:bCs/>
        </w:rPr>
      </w:pPr>
      <w:r w:rsidRPr="008D7032">
        <w:rPr>
          <w:b/>
          <w:bCs/>
        </w:rPr>
        <w:t xml:space="preserve">ЗА </w:t>
      </w:r>
      <w:r w:rsidR="004E7BF8" w:rsidRPr="008D7032">
        <w:rPr>
          <w:b/>
          <w:bCs/>
        </w:rPr>
        <w:t xml:space="preserve">КАСОВОТО </w:t>
      </w:r>
      <w:r w:rsidRPr="008D7032">
        <w:rPr>
          <w:b/>
          <w:bCs/>
        </w:rPr>
        <w:t xml:space="preserve">ИЗПЪЛНЕНИЕ НА </w:t>
      </w:r>
      <w:r w:rsidR="004E7BF8" w:rsidRPr="008D7032">
        <w:rPr>
          <w:b/>
          <w:bCs/>
        </w:rPr>
        <w:t>ДЪРЖАВНИЯ</w:t>
      </w:r>
      <w:r w:rsidRPr="008D7032">
        <w:rPr>
          <w:b/>
          <w:bCs/>
        </w:rPr>
        <w:t xml:space="preserve"> БЮДЖЕТ</w:t>
      </w:r>
      <w:r w:rsidR="004E7BF8" w:rsidRPr="008D7032">
        <w:rPr>
          <w:b/>
          <w:bCs/>
        </w:rPr>
        <w:t xml:space="preserve"> И НА ОСНОВНИТЕ ПОКАЗАТЕЛИ НА КОНСОЛИДИРАНАТА ФИСКАЛНА ПРОГРАМА </w:t>
      </w:r>
    </w:p>
    <w:p w14:paraId="10661D39" w14:textId="77777777" w:rsidR="003F47AB" w:rsidRPr="008D7032" w:rsidRDefault="003F47AB" w:rsidP="003F47AB">
      <w:pPr>
        <w:jc w:val="center"/>
        <w:rPr>
          <w:b/>
          <w:bCs/>
        </w:rPr>
      </w:pPr>
      <w:r w:rsidRPr="008D7032">
        <w:rPr>
          <w:b/>
          <w:bCs/>
        </w:rPr>
        <w:t xml:space="preserve">ЗА </w:t>
      </w:r>
      <w:r w:rsidR="009A36B2" w:rsidRPr="008D7032">
        <w:rPr>
          <w:b/>
          <w:bCs/>
        </w:rPr>
        <w:t xml:space="preserve">ПЪРВОТО ТРИМЕСЕЧИЕ </w:t>
      </w:r>
      <w:r w:rsidRPr="008D7032">
        <w:rPr>
          <w:b/>
          <w:bCs/>
        </w:rPr>
        <w:t>НА 20</w:t>
      </w:r>
      <w:r w:rsidR="006D5D56" w:rsidRPr="008D7032">
        <w:rPr>
          <w:b/>
          <w:bCs/>
        </w:rPr>
        <w:t>2</w:t>
      </w:r>
      <w:r w:rsidR="008D7032" w:rsidRPr="005F1F3A">
        <w:rPr>
          <w:b/>
          <w:bCs/>
          <w:lang w:val="ru-RU"/>
        </w:rPr>
        <w:t>5</w:t>
      </w:r>
      <w:r w:rsidRPr="008D7032">
        <w:rPr>
          <w:b/>
          <w:bCs/>
        </w:rPr>
        <w:t xml:space="preserve"> ГОДИНА</w:t>
      </w:r>
    </w:p>
    <w:p w14:paraId="387BD040" w14:textId="77777777" w:rsidR="00430A35" w:rsidRPr="00716094" w:rsidRDefault="00430A35" w:rsidP="003A06C5">
      <w:pPr>
        <w:rPr>
          <w:b/>
          <w:bCs/>
          <w:color w:val="0070C0"/>
        </w:rPr>
      </w:pPr>
    </w:p>
    <w:p w14:paraId="00F0F81A" w14:textId="77777777" w:rsidR="00E10331" w:rsidRPr="00716094" w:rsidRDefault="00E10331" w:rsidP="003A06C5">
      <w:pPr>
        <w:rPr>
          <w:b/>
          <w:bCs/>
          <w:color w:val="0070C0"/>
        </w:rPr>
      </w:pPr>
    </w:p>
    <w:p w14:paraId="376AB08C" w14:textId="77777777" w:rsidR="00E10331" w:rsidRPr="00716094" w:rsidRDefault="00E10331" w:rsidP="003A06C5">
      <w:pPr>
        <w:rPr>
          <w:b/>
          <w:bCs/>
          <w:color w:val="0070C0"/>
        </w:rPr>
      </w:pPr>
    </w:p>
    <w:p w14:paraId="1303C00F" w14:textId="77777777" w:rsidR="00F71A7A" w:rsidRPr="00446778" w:rsidRDefault="00F71A7A" w:rsidP="00F71A7A">
      <w:pPr>
        <w:keepNext/>
        <w:keepLines/>
        <w:spacing w:before="40"/>
        <w:jc w:val="both"/>
        <w:outlineLvl w:val="2"/>
        <w:rPr>
          <w:b/>
          <w:u w:val="single"/>
          <w:lang w:eastAsia="bg-BG"/>
        </w:rPr>
      </w:pPr>
      <w:bookmarkStart w:id="0" w:name="_Toc109903428"/>
      <w:r w:rsidRPr="00B5703E">
        <w:rPr>
          <w:b/>
          <w:u w:val="single"/>
          <w:lang w:eastAsia="bg-BG"/>
        </w:rPr>
        <w:t>Априлски Нотификационни таблици за дефицита и дълга на България</w:t>
      </w:r>
    </w:p>
    <w:p w14:paraId="11EBAC2F" w14:textId="77777777" w:rsidR="00F71A7A" w:rsidRPr="00E5710B" w:rsidRDefault="00F71A7A" w:rsidP="00F71A7A">
      <w:pPr>
        <w:spacing w:before="120" w:after="120"/>
        <w:jc w:val="both"/>
        <w:rPr>
          <w:color w:val="000000" w:themeColor="text1"/>
        </w:rPr>
      </w:pPr>
      <w:r w:rsidRPr="00E5710B">
        <w:rPr>
          <w:color w:val="000000" w:themeColor="text1"/>
        </w:rPr>
        <w:t>Съгласно априлските Нотификационни таблици за дефицита и дълга на България салдото на сектор „Държавно управление“ за 20</w:t>
      </w:r>
      <w:r>
        <w:rPr>
          <w:color w:val="000000" w:themeColor="text1"/>
        </w:rPr>
        <w:t>24</w:t>
      </w:r>
      <w:r w:rsidRPr="00E5710B">
        <w:rPr>
          <w:color w:val="000000" w:themeColor="text1"/>
        </w:rPr>
        <w:t xml:space="preserve"> г. е </w:t>
      </w:r>
      <w:r>
        <w:rPr>
          <w:color w:val="000000" w:themeColor="text1"/>
        </w:rPr>
        <w:t>отрицателно</w:t>
      </w:r>
      <w:r w:rsidRPr="00E5710B">
        <w:rPr>
          <w:color w:val="000000" w:themeColor="text1"/>
        </w:rPr>
        <w:t xml:space="preserve"> в размер на </w:t>
      </w:r>
      <w:r>
        <w:rPr>
          <w:color w:val="000000" w:themeColor="text1"/>
        </w:rPr>
        <w:t>3,0</w:t>
      </w:r>
      <w:r w:rsidRPr="00E5710B">
        <w:rPr>
          <w:color w:val="000000" w:themeColor="text1"/>
        </w:rPr>
        <w:t xml:space="preserve"> % от БВП. </w:t>
      </w:r>
      <w:r>
        <w:t>Общо шестнадесет държавни членки, включително България, отчитат дефицит в рамките на референтната стойност от 3 на сто от БВП по Пакта за стабилност и растеж</w:t>
      </w:r>
      <w:r>
        <w:rPr>
          <w:color w:val="000000" w:themeColor="text1"/>
        </w:rPr>
        <w:t>.</w:t>
      </w:r>
      <w:r w:rsidRPr="00DB3FAA">
        <w:rPr>
          <w:color w:val="000000" w:themeColor="text1"/>
        </w:rPr>
        <w:t xml:space="preserve"> </w:t>
      </w:r>
    </w:p>
    <w:p w14:paraId="19394B69" w14:textId="41DD41C6" w:rsidR="00F71A7A" w:rsidRPr="006B7DCB" w:rsidRDefault="00F71A7A" w:rsidP="00F71A7A">
      <w:pPr>
        <w:spacing w:after="120"/>
        <w:jc w:val="both"/>
        <w:rPr>
          <w:color w:val="000000" w:themeColor="text1"/>
        </w:rPr>
      </w:pPr>
      <w:r w:rsidRPr="001E4243">
        <w:rPr>
          <w:color w:val="000000" w:themeColor="text1"/>
        </w:rPr>
        <w:t>На база на публикуваните в края на април данни на Евростат за дефицита и дълга на държавите</w:t>
      </w:r>
      <w:r w:rsidRPr="00D40081">
        <w:rPr>
          <w:color w:val="000000" w:themeColor="text1"/>
        </w:rPr>
        <w:t xml:space="preserve"> </w:t>
      </w:r>
      <w:r w:rsidRPr="001E4243">
        <w:rPr>
          <w:color w:val="000000" w:themeColor="text1"/>
        </w:rPr>
        <w:t>членки през 20</w:t>
      </w:r>
      <w:r>
        <w:rPr>
          <w:color w:val="000000" w:themeColor="text1"/>
        </w:rPr>
        <w:t>24</w:t>
      </w:r>
      <w:r w:rsidRPr="001E4243">
        <w:rPr>
          <w:color w:val="000000" w:themeColor="text1"/>
        </w:rPr>
        <w:t xml:space="preserve"> г. се отчита </w:t>
      </w:r>
      <w:r>
        <w:rPr>
          <w:color w:val="000000" w:themeColor="text1"/>
        </w:rPr>
        <w:t xml:space="preserve">подобрение по отношение на осреднените стойности за дефицита и дълга на държавите от </w:t>
      </w:r>
      <w:r w:rsidRPr="001E4243">
        <w:rPr>
          <w:color w:val="000000" w:themeColor="text1"/>
        </w:rPr>
        <w:t>ЕС. Осреднената стойност на дефицита за държавите</w:t>
      </w:r>
      <w:r>
        <w:rPr>
          <w:color w:val="000000" w:themeColor="text1"/>
        </w:rPr>
        <w:t xml:space="preserve"> </w:t>
      </w:r>
      <w:r w:rsidRPr="001E4243">
        <w:rPr>
          <w:color w:val="000000" w:themeColor="text1"/>
        </w:rPr>
        <w:t>членки на ЕС за 20</w:t>
      </w:r>
      <w:r>
        <w:rPr>
          <w:color w:val="000000" w:themeColor="text1"/>
        </w:rPr>
        <w:t>24</w:t>
      </w:r>
      <w:r w:rsidRPr="001E4243">
        <w:rPr>
          <w:color w:val="000000" w:themeColor="text1"/>
        </w:rPr>
        <w:t xml:space="preserve"> г. се равнява на </w:t>
      </w:r>
      <w:r w:rsidRPr="00A95BDD">
        <w:rPr>
          <w:color w:val="000000" w:themeColor="text1"/>
          <w:lang w:val="ru-RU"/>
        </w:rPr>
        <w:t>3</w:t>
      </w:r>
      <w:r>
        <w:rPr>
          <w:color w:val="000000" w:themeColor="text1"/>
          <w:lang w:val="ru-RU"/>
        </w:rPr>
        <w:t>,2</w:t>
      </w:r>
      <w:r>
        <w:rPr>
          <w:color w:val="000000" w:themeColor="text1"/>
        </w:rPr>
        <w:t> % от БВП при</w:t>
      </w:r>
      <w:r w:rsidRPr="001E4243">
        <w:rPr>
          <w:color w:val="000000" w:themeColor="text1"/>
        </w:rPr>
        <w:t xml:space="preserve"> </w:t>
      </w:r>
      <w:r>
        <w:rPr>
          <w:color w:val="000000" w:themeColor="text1"/>
        </w:rPr>
        <w:t>отчетен дефицит в размер на 3,5 </w:t>
      </w:r>
      <w:r w:rsidRPr="001E4243">
        <w:rPr>
          <w:color w:val="000000" w:themeColor="text1"/>
        </w:rPr>
        <w:t>% от БВП за 20</w:t>
      </w:r>
      <w:r>
        <w:rPr>
          <w:color w:val="000000" w:themeColor="text1"/>
        </w:rPr>
        <w:t>23</w:t>
      </w:r>
      <w:r w:rsidRPr="001E4243">
        <w:rPr>
          <w:color w:val="000000" w:themeColor="text1"/>
        </w:rPr>
        <w:t xml:space="preserve"> г.</w:t>
      </w:r>
      <w:r>
        <w:rPr>
          <w:color w:val="000000" w:themeColor="text1"/>
        </w:rPr>
        <w:t xml:space="preserve"> За страните от еврозоната осреднената стойност на дефицита на сектор „Държавно управление“ за </w:t>
      </w:r>
      <w:r w:rsidRPr="006B7DCB">
        <w:rPr>
          <w:color w:val="000000" w:themeColor="text1"/>
        </w:rPr>
        <w:t>202</w:t>
      </w:r>
      <w:r w:rsidR="009F13D5">
        <w:rPr>
          <w:color w:val="000000" w:themeColor="text1"/>
          <w:lang w:val="en-US"/>
        </w:rPr>
        <w:t>4</w:t>
      </w:r>
      <w:r w:rsidRPr="006B7DCB">
        <w:rPr>
          <w:color w:val="000000" w:themeColor="text1"/>
        </w:rPr>
        <w:t xml:space="preserve"> г. възлиза на 3,1 % от БВП при 3,5 % от БВП дефицит за 2023 г. </w:t>
      </w:r>
    </w:p>
    <w:p w14:paraId="460EC7CC" w14:textId="77777777" w:rsidR="00F71A7A" w:rsidRPr="006B7DCB" w:rsidRDefault="00F71A7A" w:rsidP="00F71A7A">
      <w:pPr>
        <w:spacing w:after="120"/>
        <w:jc w:val="both"/>
        <w:rPr>
          <w:color w:val="000000" w:themeColor="text1"/>
        </w:rPr>
      </w:pPr>
      <w:r w:rsidRPr="006B7DCB">
        <w:rPr>
          <w:color w:val="000000" w:themeColor="text1"/>
        </w:rPr>
        <w:t xml:space="preserve">По отношение на дълга, България е втора след Естония с най-нисък дълг на сектор „Държавно управление“ в ЕС за 2024 г. – 24,1 % от БВП. Дванадесет държави членки надвишават референтната стойност от 60 % от БВП в Пакта за стабилност и растеж, като средно за ЕС относителният дял на показателя дълг спрямо БВП остава близко до отчетеното ниво за 2023 г. - 81,0 % от БВП. </w:t>
      </w:r>
    </w:p>
    <w:p w14:paraId="4013AFFB" w14:textId="77777777" w:rsidR="00F71A7A" w:rsidRPr="006B7DCB" w:rsidRDefault="00F71A7A" w:rsidP="00F71A7A">
      <w:pPr>
        <w:keepNext/>
        <w:keepLines/>
        <w:spacing w:before="40"/>
        <w:jc w:val="both"/>
        <w:outlineLvl w:val="2"/>
        <w:rPr>
          <w:b/>
          <w:color w:val="000000" w:themeColor="text1"/>
          <w:u w:val="single"/>
          <w:lang w:eastAsia="bg-BG"/>
        </w:rPr>
      </w:pPr>
      <w:r w:rsidRPr="006B7DCB">
        <w:rPr>
          <w:b/>
          <w:color w:val="000000" w:themeColor="text1"/>
          <w:u w:val="single"/>
          <w:lang w:eastAsia="bg-BG"/>
        </w:rPr>
        <w:t>Развитие на икономическата среда</w:t>
      </w:r>
    </w:p>
    <w:p w14:paraId="4E5305FA" w14:textId="10D5A251" w:rsidR="00F71A7A" w:rsidRPr="006B7DCB" w:rsidRDefault="0015009D" w:rsidP="00F71A7A">
      <w:pPr>
        <w:spacing w:before="120" w:after="120"/>
        <w:jc w:val="both"/>
        <w:rPr>
          <w:color w:val="000000" w:themeColor="text1"/>
        </w:rPr>
      </w:pPr>
      <w:r w:rsidRPr="0015009D">
        <w:t>Краткосрочните индикатори за първото тримесечие на 2025 г. показват подобрение на  бизнес климата и леко влошаване на доверието на потребителите. Подобрението на бизнес климата се дължеше на по-оптимистични очаквания за бизнес състоянието на предприятията. В същото време по отношение на оценките за текущото бизнес състояние в промишлеността и строителството бе отчетен спад, а при анкетираните в търговията на дребно бе отчетено значимо подобрение. За периода януари-февруари промишленото производство претърпява спад от 5,4 % спрямо същия период на предходната година, докато строителната продукция нараства с 2,7 %. Същевременно оборота в търговията на дребно отбелязва ръст от 5,3 %. През месец януари индикаторът за производство в бизнес услугите нарасна с 8 % спрямо същия месец предходната година.</w:t>
      </w:r>
      <w:r>
        <w:rPr>
          <w:sz w:val="28"/>
          <w:szCs w:val="28"/>
        </w:rPr>
        <w:t xml:space="preserve"> </w:t>
      </w:r>
    </w:p>
    <w:p w14:paraId="621920D5" w14:textId="5020F11B" w:rsidR="00F71A7A" w:rsidRPr="006B7DCB" w:rsidRDefault="00F71A7A" w:rsidP="00F71A7A">
      <w:pPr>
        <w:spacing w:before="120" w:after="120"/>
        <w:jc w:val="both"/>
        <w:rPr>
          <w:color w:val="000000" w:themeColor="text1"/>
        </w:rPr>
      </w:pPr>
      <w:r w:rsidRPr="006B7DCB">
        <w:rPr>
          <w:color w:val="000000" w:themeColor="text1"/>
        </w:rPr>
        <w:t xml:space="preserve">През първите три месеца </w:t>
      </w:r>
      <w:r w:rsidR="0015009D">
        <w:rPr>
          <w:color w:val="000000" w:themeColor="text1"/>
        </w:rPr>
        <w:t>н</w:t>
      </w:r>
      <w:r w:rsidRPr="006B7DCB">
        <w:rPr>
          <w:color w:val="000000" w:themeColor="text1"/>
        </w:rPr>
        <w:t>а 2025 г. броят на регистрираните безработни в страната следва динамиката, наблюдавана и през предходните две години. В края на март техният брой достигна 156 335 души, което е с 4</w:t>
      </w:r>
      <w:r w:rsidR="0029628E">
        <w:rPr>
          <w:color w:val="000000" w:themeColor="text1"/>
        </w:rPr>
        <w:t>,</w:t>
      </w:r>
      <w:r w:rsidRPr="006B7DCB">
        <w:rPr>
          <w:color w:val="000000" w:themeColor="text1"/>
        </w:rPr>
        <w:t>5% (7</w:t>
      </w:r>
      <w:r w:rsidR="00C82FEC">
        <w:rPr>
          <w:color w:val="000000" w:themeColor="text1"/>
        </w:rPr>
        <w:t>,</w:t>
      </w:r>
      <w:r w:rsidRPr="006B7DCB">
        <w:rPr>
          <w:color w:val="000000" w:themeColor="text1"/>
        </w:rPr>
        <w:t>3 хил.</w:t>
      </w:r>
      <w:r w:rsidR="0011515C">
        <w:rPr>
          <w:color w:val="000000" w:themeColor="text1"/>
        </w:rPr>
        <w:t xml:space="preserve"> </w:t>
      </w:r>
      <w:r w:rsidRPr="006B7DCB">
        <w:rPr>
          <w:color w:val="000000" w:themeColor="text1"/>
        </w:rPr>
        <w:t>д.) по-малко в сравнение със същия месец на 2024 г. Недостигът на трудов ресурс остана основно затруднение за развитието на бизнеса и все по-трудно той ще бъде задоволен с предлагането на труд единствено чрез привличането на неактивни лица обратно на трудовия пазар.</w:t>
      </w:r>
    </w:p>
    <w:p w14:paraId="790D837C" w14:textId="654FF054" w:rsidR="00F71A7A" w:rsidRPr="006B7DCB" w:rsidRDefault="00DF6191" w:rsidP="00F71A7A">
      <w:pPr>
        <w:spacing w:before="120" w:after="120"/>
        <w:jc w:val="both"/>
        <w:rPr>
          <w:color w:val="000000" w:themeColor="text1"/>
        </w:rPr>
      </w:pPr>
      <w:r w:rsidRPr="00DF6191">
        <w:rPr>
          <w:color w:val="000000" w:themeColor="text1"/>
        </w:rPr>
        <w:t>През първото тримесечие на 2025 г. годишният темп на инфлация според ХИПЦ беше 4,0 % през март. Услугите и енергийните стоки имаха най-голям ефект в общия индекс. Изчерпването на благоприятните базови ефекти при цените на енергийните стоки (най-вече при транспортните горива) също имаше влияние. Базисната инфлация бе 3,8 % на годишна база</w:t>
      </w:r>
      <w:bookmarkStart w:id="1" w:name="_GoBack"/>
      <w:bookmarkEnd w:id="1"/>
      <w:r w:rsidR="00F71A7A" w:rsidRPr="006B7DCB">
        <w:rPr>
          <w:color w:val="000000" w:themeColor="text1"/>
        </w:rPr>
        <w:t>.</w:t>
      </w:r>
    </w:p>
    <w:p w14:paraId="167A32C5" w14:textId="66A180A6" w:rsidR="00F71A7A" w:rsidRPr="006B7DCB" w:rsidRDefault="00F71A7A" w:rsidP="00F71A7A">
      <w:pPr>
        <w:spacing w:before="120" w:after="120"/>
        <w:jc w:val="both"/>
        <w:rPr>
          <w:color w:val="000000" w:themeColor="text1"/>
        </w:rPr>
      </w:pPr>
      <w:r w:rsidRPr="006B7DCB">
        <w:rPr>
          <w:color w:val="000000" w:themeColor="text1"/>
        </w:rPr>
        <w:t>За първите два месеца на годината по текущата сметка на платежния баланс бе отчетен дефицит от 0,8 % от прогнозния БВП, при дефицит от 0,1 % за същия период на 2024 г. Вносът на стоки се увеличи с 6,1 %, докато износът леко намаля с 0,7</w:t>
      </w:r>
      <w:r w:rsidR="003C11B2">
        <w:rPr>
          <w:color w:val="000000" w:themeColor="text1"/>
        </w:rPr>
        <w:t xml:space="preserve"> </w:t>
      </w:r>
      <w:r w:rsidRPr="006B7DCB">
        <w:rPr>
          <w:color w:val="000000" w:themeColor="text1"/>
        </w:rPr>
        <w:t xml:space="preserve">%, което доведе до увеличение на отрицателното салдо по търговския баланс. Водеща и при двата търговски потока бе търговията </w:t>
      </w:r>
      <w:r w:rsidRPr="006B7DCB">
        <w:rPr>
          <w:color w:val="000000" w:themeColor="text1"/>
        </w:rPr>
        <w:lastRenderedPageBreak/>
        <w:t xml:space="preserve">със страни извън ЕС. Както вносът, така и износът на услуги отбелязаха минимално изменение спрямо същия период на 2025 г., поради което излишъкът при услугите остана без промяна в отношение спрямо прогнозния БВП. Леко влошаване бе наблюдавано в баланса на първичния доход, поради по-голямо изплащане на инвестиционен доход към </w:t>
      </w:r>
      <w:proofErr w:type="spellStart"/>
      <w:r w:rsidRPr="006B7DCB">
        <w:rPr>
          <w:color w:val="000000" w:themeColor="text1"/>
        </w:rPr>
        <w:t>нерезиденти</w:t>
      </w:r>
      <w:proofErr w:type="spellEnd"/>
      <w:r w:rsidRPr="006B7DCB">
        <w:rPr>
          <w:color w:val="000000" w:themeColor="text1"/>
        </w:rPr>
        <w:t xml:space="preserve">. През първите два месеца на годината входящите </w:t>
      </w:r>
      <w:r w:rsidR="00AD3012">
        <w:rPr>
          <w:color w:val="000000" w:themeColor="text1"/>
        </w:rPr>
        <w:t>преки чуждестранни инвестиции</w:t>
      </w:r>
      <w:r w:rsidRPr="006B7DCB">
        <w:rPr>
          <w:color w:val="000000" w:themeColor="text1"/>
        </w:rPr>
        <w:t xml:space="preserve"> достигнаха 626,6 млн. евро при 400,4 млн. евро за същия период на 2024 г.</w:t>
      </w:r>
    </w:p>
    <w:p w14:paraId="68FA79D1" w14:textId="77777777" w:rsidR="00F71A7A" w:rsidRPr="006B7DCB" w:rsidRDefault="00F71A7A" w:rsidP="00F71A7A">
      <w:pPr>
        <w:spacing w:before="120" w:after="120"/>
        <w:jc w:val="both"/>
        <w:rPr>
          <w:color w:val="000000" w:themeColor="text1"/>
        </w:rPr>
      </w:pPr>
      <w:r w:rsidRPr="006B7DCB">
        <w:rPr>
          <w:color w:val="000000" w:themeColor="text1"/>
        </w:rPr>
        <w:t>Търсенето на заемни ресурси от частния сектор се запази високо и през първото тримесечие на 2025 г. Темпът на нарастване на кредита за частния сектор възлезе на 14,8 % в края на март, спрямо 14,7 % в края на 2024 г. Кредитите за домакинства нараснаха с 20,7 % на годишна база, при 20,8 % в края на 2024 г. Кредитите за покупка на жилища запазиха в края на март темпа си на растеж от края на предходната година от 29,1 %. От своя страна потребителските кредити се забавиха минимално до 11,6 %. Продължаващото силно търсене на кредити за покупка на жилище беше мотивирано от задържащите се ниски номинални лихвени проценти, растежа на доходите и продължаващия двуцифрен годишен ръст на цените на жилищата. Кредитите за нефинансови предприятия към края на март се увеличиха с 9,9 %, като водещ остана приноса на корпоративния овърдрафт, чиито ръст достигна 20,3 %. След като се забавяха през цялата 2024 г., редовните кредити за фирми започнаха отново да се ускоряват през 2025 г. Депозитите на нефинансовите предприятия и домакинствата продължиха да нарастват, като при фирмите през тримесечието се наблюдаваше плавно ускорение. В резултат, потокът от привлечени средства за банковата система и силната конкуренция между банките продължи да подкрепя високия растеж на кредита за неправителствения сектор.</w:t>
      </w:r>
    </w:p>
    <w:p w14:paraId="6C20475A" w14:textId="77777777" w:rsidR="00F71A7A" w:rsidRPr="005D051A" w:rsidRDefault="00F71A7A" w:rsidP="00F71A7A">
      <w:pPr>
        <w:keepNext/>
        <w:keepLines/>
        <w:spacing w:before="40"/>
        <w:jc w:val="both"/>
        <w:outlineLvl w:val="2"/>
        <w:rPr>
          <w:b/>
          <w:u w:val="single"/>
          <w:lang w:eastAsia="bg-BG"/>
        </w:rPr>
      </w:pPr>
      <w:r w:rsidRPr="005D051A">
        <w:rPr>
          <w:b/>
          <w:u w:val="single"/>
          <w:lang w:eastAsia="bg-BG"/>
        </w:rPr>
        <w:t>Основни акценти във връзка с текущото наблюдение на изпълнението на консолидираната фискална програма за първото тримесечие на 202</w:t>
      </w:r>
      <w:r>
        <w:rPr>
          <w:b/>
          <w:u w:val="single"/>
          <w:lang w:eastAsia="bg-BG"/>
        </w:rPr>
        <w:t>5</w:t>
      </w:r>
      <w:r w:rsidRPr="005D051A">
        <w:rPr>
          <w:b/>
          <w:u w:val="single"/>
          <w:lang w:eastAsia="bg-BG"/>
        </w:rPr>
        <w:t xml:space="preserve"> г.</w:t>
      </w:r>
    </w:p>
    <w:p w14:paraId="11220089" w14:textId="6877C3BF" w:rsidR="00F71A7A" w:rsidRPr="000559F6" w:rsidRDefault="00F71A7A" w:rsidP="00CF4C97">
      <w:pPr>
        <w:pStyle w:val="BodyText"/>
        <w:spacing w:before="120"/>
        <w:rPr>
          <w:lang w:val="en-US"/>
        </w:rPr>
      </w:pPr>
      <w:r>
        <w:rPr>
          <w:color w:val="000000" w:themeColor="text1"/>
        </w:rPr>
        <w:t>При липсата на приет от Народното събрание закон за държавния бюджет за настоящата година</w:t>
      </w:r>
      <w:r w:rsidRPr="00817AEB">
        <w:rPr>
          <w:color w:val="000000" w:themeColor="text1"/>
        </w:rPr>
        <w:t xml:space="preserve"> до приемането </w:t>
      </w:r>
      <w:r>
        <w:rPr>
          <w:color w:val="000000" w:themeColor="text1"/>
        </w:rPr>
        <w:t>му</w:t>
      </w:r>
      <w:r w:rsidRPr="00817AEB">
        <w:rPr>
          <w:color w:val="000000" w:themeColor="text1"/>
        </w:rPr>
        <w:t xml:space="preserve"> </w:t>
      </w:r>
      <w:r>
        <w:rPr>
          <w:color w:val="000000" w:themeColor="text1"/>
        </w:rPr>
        <w:t xml:space="preserve">се </w:t>
      </w:r>
      <w:r w:rsidR="0015009D">
        <w:rPr>
          <w:color w:val="000000" w:themeColor="text1"/>
        </w:rPr>
        <w:t>наложи</w:t>
      </w:r>
      <w:r>
        <w:rPr>
          <w:color w:val="000000" w:themeColor="text1"/>
        </w:rPr>
        <w:t xml:space="preserve"> да бъде прилагана разпоредбата</w:t>
      </w:r>
      <w:r w:rsidRPr="00817AEB">
        <w:rPr>
          <w:color w:val="000000" w:themeColor="text1"/>
        </w:rPr>
        <w:t xml:space="preserve"> на чл. 87 </w:t>
      </w:r>
      <w:r>
        <w:rPr>
          <w:color w:val="000000" w:themeColor="text1"/>
        </w:rPr>
        <w:t>на Закона за публичните финанси,</w:t>
      </w:r>
      <w:r w:rsidRPr="00817AEB">
        <w:rPr>
          <w:color w:val="000000" w:themeColor="text1"/>
        </w:rPr>
        <w:t xml:space="preserve"> съответно разпоредбите на </w:t>
      </w:r>
      <w:r>
        <w:t>Закона за събиране на приходи и извършване на разходи през 2025 г. до приемането на закона за държавния бюджет на Република България за 2025 г., Закона за бюджета на държавното обществено осигуряване за 2025 г. и Закона за бюджета на Националната здравноосигурителна каса за 2025 г. (ЗСПИР през 2025 г.). В изпълнение на тези разпоредби</w:t>
      </w:r>
      <w:r w:rsidRPr="00F960F8">
        <w:t xml:space="preserve"> Министерството на финансите изготви разчети по държавния</w:t>
      </w:r>
      <w:r>
        <w:t xml:space="preserve"> бюджет за януари и февруари</w:t>
      </w:r>
      <w:r w:rsidRPr="00F960F8">
        <w:t xml:space="preserve"> 2025 г. за прогнозните размери на приходите, разходите, трансферите и вноската в общия бюджет на ЕС. Разчетите с</w:t>
      </w:r>
      <w:r>
        <w:t>е</w:t>
      </w:r>
      <w:r w:rsidRPr="00F960F8">
        <w:t xml:space="preserve"> </w:t>
      </w:r>
      <w:r>
        <w:t>основаваха на</w:t>
      </w:r>
      <w:r w:rsidRPr="00F960F8">
        <w:t xml:space="preserve"> прогнози за приходите от данъци, изготвени от приходните администрации, както и на прогнози за основните бюджетни параметри (приходи, разходи и трансфери), изготвени от  първостепенните разпоредители с бюджет (ПРБ) по държавния бюджет, прогнозни разчети за трансферите за общините, за Държавното обществено осигуряване, за Националната здравноосигурителна каса, за Българската национална телевизия, за Българското национално радио, за Българската телеграфна агенция и за сметките за средства от ЕС. </w:t>
      </w:r>
      <w:r>
        <w:t xml:space="preserve">На база на изготвените разчети и на основание </w:t>
      </w:r>
      <w:r w:rsidRPr="00026DFE">
        <w:t>чл. 3</w:t>
      </w:r>
      <w:r>
        <w:t>, ал. 3 на ЗСПИР през 2025 г.</w:t>
      </w:r>
      <w:r w:rsidRPr="00026DFE">
        <w:t xml:space="preserve"> </w:t>
      </w:r>
      <w:r w:rsidRPr="00E97A9E">
        <w:t>Министерския съвет със свои решения (РМС №43/2025 г. и РМС №110/2025) одобри финансиране</w:t>
      </w:r>
      <w:r>
        <w:t xml:space="preserve"> на част от </w:t>
      </w:r>
      <w:r w:rsidRPr="00026DFE">
        <w:t>трансфери</w:t>
      </w:r>
      <w:r>
        <w:t>те по държавния бюджет за януари и февруари</w:t>
      </w:r>
      <w:r w:rsidRPr="00026DFE">
        <w:t xml:space="preserve"> за сметка на наличности от предходната година.</w:t>
      </w:r>
      <w:r>
        <w:t xml:space="preserve"> След окончателното приемане от Народното събрание на Закона за държавния бюджет на Република България за 2025 г. (ЗДБРБ за 2025 г.) разходите за месец март се финансираха в съответствие с одобрените разчети.</w:t>
      </w:r>
    </w:p>
    <w:p w14:paraId="607B37B9" w14:textId="77777777" w:rsidR="00F71A7A" w:rsidRPr="00EE7E02" w:rsidRDefault="00F71A7A" w:rsidP="00F71A7A">
      <w:pPr>
        <w:pStyle w:val="BodyText"/>
        <w:rPr>
          <w:sz w:val="8"/>
          <w:szCs w:val="8"/>
        </w:rPr>
      </w:pPr>
    </w:p>
    <w:p w14:paraId="721597A2" w14:textId="7B70471C" w:rsidR="00F71A7A" w:rsidRDefault="00F71A7A" w:rsidP="00F71A7A">
      <w:pPr>
        <w:spacing w:after="120"/>
        <w:jc w:val="both"/>
        <w:rPr>
          <w:color w:val="000000" w:themeColor="text1"/>
        </w:rPr>
      </w:pPr>
      <w:r>
        <w:rPr>
          <w:color w:val="000000" w:themeColor="text1"/>
        </w:rPr>
        <w:t xml:space="preserve">Фискалната рамка със ЗДБРБ за 2025 г. предвижда дефицитът по консолидираната фискална програма да възлезе на 3 на сто от прогнозния БВП при спазване на фискалните правила по ЗПФ. Това поставя амбициозни цели пред приходните администрации, което изисква пълна мобилизация на усилията за подсилване на фискалния контрол, борба със сивата икономика, данъчните и митническите престъпления и засилен обмен на информация между различните администрации на изпълнителната власт. </w:t>
      </w:r>
    </w:p>
    <w:p w14:paraId="4167237A" w14:textId="77777777" w:rsidR="00125CD6" w:rsidRDefault="00125CD6" w:rsidP="00F71A7A">
      <w:pPr>
        <w:spacing w:after="120"/>
        <w:jc w:val="both"/>
        <w:rPr>
          <w:color w:val="000000" w:themeColor="text1"/>
        </w:rPr>
      </w:pPr>
    </w:p>
    <w:p w14:paraId="2CC8E274" w14:textId="77777777" w:rsidR="00125CD6" w:rsidRPr="000559F6" w:rsidRDefault="00125CD6" w:rsidP="00F71A7A">
      <w:pPr>
        <w:spacing w:after="120"/>
        <w:jc w:val="both"/>
        <w:rPr>
          <w:color w:val="000000" w:themeColor="text1"/>
        </w:rPr>
      </w:pPr>
    </w:p>
    <w:p w14:paraId="31A43B88" w14:textId="77777777" w:rsidR="00F71A7A" w:rsidRDefault="00F71A7A" w:rsidP="00F71A7A">
      <w:pPr>
        <w:spacing w:after="120"/>
        <w:jc w:val="both"/>
        <w:rPr>
          <w:b/>
          <w:i/>
          <w:color w:val="000000" w:themeColor="text1"/>
          <w:u w:val="single"/>
        </w:rPr>
      </w:pPr>
    </w:p>
    <w:p w14:paraId="048C9D83" w14:textId="77777777" w:rsidR="00F71A7A" w:rsidRPr="005D051A" w:rsidRDefault="00F71A7A" w:rsidP="00F71A7A">
      <w:pPr>
        <w:spacing w:after="120"/>
        <w:jc w:val="both"/>
        <w:rPr>
          <w:b/>
          <w:i/>
          <w:color w:val="000000" w:themeColor="text1"/>
          <w:u w:val="single"/>
        </w:rPr>
      </w:pPr>
      <w:r w:rsidRPr="005D051A">
        <w:rPr>
          <w:b/>
          <w:i/>
          <w:color w:val="000000" w:themeColor="text1"/>
          <w:u w:val="single"/>
        </w:rPr>
        <w:t xml:space="preserve">Бюджетно салдо по КФП </w:t>
      </w:r>
      <w:r>
        <w:rPr>
          <w:b/>
          <w:i/>
          <w:color w:val="000000" w:themeColor="text1"/>
          <w:u w:val="single"/>
        </w:rPr>
        <w:t>за</w:t>
      </w:r>
      <w:r w:rsidRPr="005D051A">
        <w:rPr>
          <w:b/>
          <w:i/>
          <w:color w:val="000000" w:themeColor="text1"/>
          <w:u w:val="single"/>
        </w:rPr>
        <w:t xml:space="preserve"> първото тримесечие на 202</w:t>
      </w:r>
      <w:r>
        <w:rPr>
          <w:b/>
          <w:i/>
          <w:color w:val="000000" w:themeColor="text1"/>
          <w:u w:val="single"/>
        </w:rPr>
        <w:t>5</w:t>
      </w:r>
      <w:r w:rsidRPr="005D051A">
        <w:rPr>
          <w:b/>
          <w:i/>
          <w:color w:val="000000" w:themeColor="text1"/>
          <w:u w:val="single"/>
        </w:rPr>
        <w:t xml:space="preserve"> г.</w:t>
      </w:r>
    </w:p>
    <w:p w14:paraId="21835A8C" w14:textId="77777777" w:rsidR="00F71A7A" w:rsidRPr="00654A03" w:rsidRDefault="00F71A7A" w:rsidP="00F71A7A">
      <w:pPr>
        <w:spacing w:after="120"/>
        <w:jc w:val="both"/>
        <w:rPr>
          <w:color w:val="000000" w:themeColor="text1"/>
        </w:rPr>
      </w:pPr>
      <w:r w:rsidRPr="00654A03">
        <w:rPr>
          <w:color w:val="000000" w:themeColor="text1"/>
        </w:rPr>
        <w:t>На база на данните от месечните отчети за касовото изпълнение на разпоредителите с бюджет за първото тримесечие на 202</w:t>
      </w:r>
      <w:r>
        <w:rPr>
          <w:color w:val="000000" w:themeColor="text1"/>
        </w:rPr>
        <w:t>5</w:t>
      </w:r>
      <w:r w:rsidRPr="00654A03">
        <w:rPr>
          <w:color w:val="000000" w:themeColor="text1"/>
        </w:rPr>
        <w:t xml:space="preserve"> г. бюджетното салдо по КФП </w:t>
      </w:r>
      <w:r>
        <w:rPr>
          <w:color w:val="000000" w:themeColor="text1"/>
        </w:rPr>
        <w:t>е дефицит</w:t>
      </w:r>
      <w:r w:rsidRPr="00654A03">
        <w:rPr>
          <w:color w:val="000000" w:themeColor="text1"/>
        </w:rPr>
        <w:t xml:space="preserve"> в размер на </w:t>
      </w:r>
      <w:r>
        <w:rPr>
          <w:color w:val="000000" w:themeColor="text1"/>
        </w:rPr>
        <w:t>1,9 млрд. лв. (</w:t>
      </w:r>
      <w:r w:rsidRPr="00654A03">
        <w:rPr>
          <w:color w:val="000000" w:themeColor="text1"/>
        </w:rPr>
        <w:t>0,</w:t>
      </w:r>
      <w:r>
        <w:rPr>
          <w:color w:val="000000" w:themeColor="text1"/>
        </w:rPr>
        <w:t>9</w:t>
      </w:r>
      <w:r w:rsidRPr="00654A03">
        <w:rPr>
          <w:color w:val="000000" w:themeColor="text1"/>
        </w:rPr>
        <w:t xml:space="preserve"> от прогнозния БВП</w:t>
      </w:r>
      <w:r>
        <w:rPr>
          <w:color w:val="000000" w:themeColor="text1"/>
        </w:rPr>
        <w:t>)</w:t>
      </w:r>
      <w:r w:rsidRPr="00654A03">
        <w:rPr>
          <w:color w:val="000000" w:themeColor="text1"/>
        </w:rPr>
        <w:t xml:space="preserve">. </w:t>
      </w:r>
    </w:p>
    <w:p w14:paraId="473569ED" w14:textId="77777777" w:rsidR="00F71A7A" w:rsidRPr="005D051A" w:rsidRDefault="00F71A7A" w:rsidP="00F71A7A">
      <w:pPr>
        <w:spacing w:before="240"/>
        <w:jc w:val="both"/>
        <w:rPr>
          <w:b/>
          <w:i/>
          <w:color w:val="000000" w:themeColor="text1"/>
        </w:rPr>
      </w:pPr>
      <w:r w:rsidRPr="005D051A">
        <w:rPr>
          <w:b/>
          <w:i/>
          <w:color w:val="000000" w:themeColor="text1"/>
        </w:rPr>
        <w:t>Приходи</w:t>
      </w:r>
    </w:p>
    <w:p w14:paraId="672D845C" w14:textId="19A8B3D6" w:rsidR="00F71A7A" w:rsidRDefault="00F71A7A" w:rsidP="00F71A7A">
      <w:pPr>
        <w:autoSpaceDE w:val="0"/>
        <w:autoSpaceDN w:val="0"/>
        <w:adjustRightInd w:val="0"/>
        <w:spacing w:before="120"/>
        <w:jc w:val="both"/>
        <w:rPr>
          <w:noProof/>
          <w:color w:val="000000" w:themeColor="text1"/>
        </w:rPr>
      </w:pPr>
      <w:r w:rsidRPr="005D051A">
        <w:rPr>
          <w:noProof/>
          <w:color w:val="000000" w:themeColor="text1"/>
        </w:rPr>
        <w:t>Общо приходите, помощите и даренията по КФП за първото тримесечие на</w:t>
      </w:r>
      <w:r>
        <w:rPr>
          <w:noProof/>
          <w:color w:val="000000" w:themeColor="text1"/>
        </w:rPr>
        <w:t xml:space="preserve"> 202</w:t>
      </w:r>
      <w:r>
        <w:rPr>
          <w:noProof/>
          <w:color w:val="000000" w:themeColor="text1"/>
          <w:lang w:val="en-US"/>
        </w:rPr>
        <w:t>5</w:t>
      </w:r>
      <w:r>
        <w:rPr>
          <w:noProof/>
          <w:color w:val="000000" w:themeColor="text1"/>
        </w:rPr>
        <w:t xml:space="preserve"> г. нарастват номинално с </w:t>
      </w:r>
      <w:r>
        <w:rPr>
          <w:noProof/>
          <w:color w:val="000000" w:themeColor="text1"/>
          <w:lang w:val="en-US"/>
        </w:rPr>
        <w:t>1</w:t>
      </w:r>
      <w:r w:rsidR="002B6E51">
        <w:rPr>
          <w:noProof/>
          <w:color w:val="000000" w:themeColor="text1"/>
        </w:rPr>
        <w:t>,</w:t>
      </w:r>
      <w:r>
        <w:rPr>
          <w:noProof/>
          <w:color w:val="000000" w:themeColor="text1"/>
          <w:lang w:val="en-US"/>
        </w:rPr>
        <w:t>1</w:t>
      </w:r>
      <w:r w:rsidRPr="005D051A">
        <w:rPr>
          <w:noProof/>
          <w:color w:val="000000" w:themeColor="text1"/>
        </w:rPr>
        <w:t xml:space="preserve"> млрд. лв. (</w:t>
      </w:r>
      <w:r>
        <w:rPr>
          <w:noProof/>
          <w:color w:val="000000" w:themeColor="text1"/>
          <w:lang w:val="en-US"/>
        </w:rPr>
        <w:t>6</w:t>
      </w:r>
      <w:r w:rsidR="002B6E51">
        <w:rPr>
          <w:noProof/>
          <w:color w:val="000000" w:themeColor="text1"/>
        </w:rPr>
        <w:t>,</w:t>
      </w:r>
      <w:r>
        <w:rPr>
          <w:noProof/>
          <w:color w:val="000000" w:themeColor="text1"/>
          <w:lang w:val="en-US"/>
        </w:rPr>
        <w:t>8</w:t>
      </w:r>
      <w:r w:rsidRPr="005D051A">
        <w:rPr>
          <w:noProof/>
          <w:color w:val="000000" w:themeColor="text1"/>
        </w:rPr>
        <w:t xml:space="preserve"> на сто), като основен двигател за това са данъчните и осигурителните приходи</w:t>
      </w:r>
      <w:r w:rsidR="00C634DB">
        <w:rPr>
          <w:noProof/>
          <w:color w:val="000000" w:themeColor="text1"/>
        </w:rPr>
        <w:t>.</w:t>
      </w:r>
    </w:p>
    <w:p w14:paraId="583BA067" w14:textId="331C0D4B" w:rsidR="00F71A7A" w:rsidRDefault="00F71A7A" w:rsidP="00F71A7A">
      <w:pPr>
        <w:autoSpaceDE w:val="0"/>
        <w:autoSpaceDN w:val="0"/>
        <w:adjustRightInd w:val="0"/>
        <w:spacing w:before="120"/>
        <w:jc w:val="both"/>
      </w:pPr>
      <w:r>
        <w:t>Постъпленията от данъци и осигурителни вноски нарастват с 1,</w:t>
      </w:r>
      <w:r>
        <w:rPr>
          <w:lang w:val="en-US"/>
        </w:rPr>
        <w:t>6</w:t>
      </w:r>
      <w:r>
        <w:t xml:space="preserve"> млрд. лв. (</w:t>
      </w:r>
      <w:r>
        <w:rPr>
          <w:lang w:val="en-US"/>
        </w:rPr>
        <w:t>13</w:t>
      </w:r>
      <w:r w:rsidR="00F67097">
        <w:t>,</w:t>
      </w:r>
      <w:r>
        <w:rPr>
          <w:lang w:val="en-US"/>
        </w:rPr>
        <w:t>3</w:t>
      </w:r>
      <w:r>
        <w:t xml:space="preserve"> %) спрямо отчетените за същия период на предходната година</w:t>
      </w:r>
      <w:r>
        <w:rPr>
          <w:lang w:val="en-US"/>
        </w:rPr>
        <w:t>.</w:t>
      </w:r>
      <w:r>
        <w:rPr>
          <w:noProof/>
          <w:color w:val="000000" w:themeColor="text1"/>
        </w:rPr>
        <w:t xml:space="preserve"> </w:t>
      </w:r>
      <w:r w:rsidRPr="00D2254A">
        <w:rPr>
          <w:noProof/>
          <w:color w:val="000000" w:themeColor="text1"/>
        </w:rPr>
        <w:t>В частта на приходите от пре</w:t>
      </w:r>
      <w:r>
        <w:rPr>
          <w:noProof/>
          <w:color w:val="000000" w:themeColor="text1"/>
        </w:rPr>
        <w:t xml:space="preserve">ки данъци постъпленията </w:t>
      </w:r>
      <w:r>
        <w:t>нарастват  номинално с 0,</w:t>
      </w:r>
      <w:r>
        <w:rPr>
          <w:lang w:val="en-US"/>
        </w:rPr>
        <w:t>3</w:t>
      </w:r>
      <w:r>
        <w:rPr>
          <w:rFonts w:eastAsia="Calibri"/>
        </w:rPr>
        <w:t xml:space="preserve"> млрд. лв. </w:t>
      </w:r>
      <w:r>
        <w:rPr>
          <w:rFonts w:eastAsia="Calibri"/>
          <w:lang w:val="ru-RU"/>
        </w:rPr>
        <w:t>(</w:t>
      </w:r>
      <w:r>
        <w:rPr>
          <w:rFonts w:eastAsia="Calibri"/>
        </w:rPr>
        <w:t>1</w:t>
      </w:r>
      <w:r w:rsidR="00201AB8">
        <w:rPr>
          <w:rFonts w:eastAsia="Calibri"/>
        </w:rPr>
        <w:t>7</w:t>
      </w:r>
      <w:r w:rsidR="00F67097">
        <w:rPr>
          <w:rFonts w:eastAsia="Calibri"/>
        </w:rPr>
        <w:t>,</w:t>
      </w:r>
      <w:r w:rsidR="00201AB8">
        <w:rPr>
          <w:rFonts w:eastAsia="Calibri"/>
        </w:rPr>
        <w:t>2</w:t>
      </w:r>
      <w:r>
        <w:rPr>
          <w:rFonts w:eastAsia="Calibri"/>
        </w:rPr>
        <w:t> %</w:t>
      </w:r>
      <w:r>
        <w:rPr>
          <w:rFonts w:eastAsia="Calibri"/>
          <w:lang w:val="ru-RU"/>
        </w:rPr>
        <w:t xml:space="preserve">) спрямо </w:t>
      </w:r>
      <w:r>
        <w:t>отчетените към март 202</w:t>
      </w:r>
      <w:r>
        <w:rPr>
          <w:lang w:val="en-US"/>
        </w:rPr>
        <w:t>4 </w:t>
      </w:r>
      <w:r>
        <w:t>г.</w:t>
      </w:r>
      <w:r>
        <w:rPr>
          <w:noProof/>
          <w:color w:val="000000" w:themeColor="text1"/>
        </w:rPr>
        <w:t xml:space="preserve"> </w:t>
      </w:r>
      <w:r w:rsidRPr="00D2254A">
        <w:rPr>
          <w:noProof/>
          <w:color w:val="000000" w:themeColor="text1"/>
        </w:rPr>
        <w:t>Постъпленията от социално и здравно осигурителни вноски нарастват с 0,</w:t>
      </w:r>
      <w:r>
        <w:rPr>
          <w:noProof/>
          <w:color w:val="000000" w:themeColor="text1"/>
          <w:lang w:val="en-US"/>
        </w:rPr>
        <w:t>5</w:t>
      </w:r>
      <w:r w:rsidRPr="00D2254A">
        <w:rPr>
          <w:noProof/>
          <w:color w:val="000000" w:themeColor="text1"/>
        </w:rPr>
        <w:t xml:space="preserve"> млрд. лв. (</w:t>
      </w:r>
      <w:r>
        <w:rPr>
          <w:noProof/>
          <w:color w:val="000000" w:themeColor="text1"/>
        </w:rPr>
        <w:t>1</w:t>
      </w:r>
      <w:r>
        <w:rPr>
          <w:noProof/>
          <w:color w:val="000000" w:themeColor="text1"/>
          <w:lang w:val="en-US"/>
        </w:rPr>
        <w:t>1</w:t>
      </w:r>
      <w:r w:rsidR="00F67097">
        <w:rPr>
          <w:noProof/>
          <w:color w:val="000000" w:themeColor="text1"/>
        </w:rPr>
        <w:t>,</w:t>
      </w:r>
      <w:r>
        <w:rPr>
          <w:noProof/>
          <w:color w:val="000000" w:themeColor="text1"/>
          <w:lang w:val="en-US"/>
        </w:rPr>
        <w:t>1</w:t>
      </w:r>
      <w:r w:rsidRPr="00D2254A">
        <w:rPr>
          <w:noProof/>
          <w:color w:val="000000" w:themeColor="text1"/>
        </w:rPr>
        <w:t xml:space="preserve"> на сто),</w:t>
      </w:r>
      <w:r>
        <w:rPr>
          <w:noProof/>
          <w:color w:val="000000" w:themeColor="text1"/>
        </w:rPr>
        <w:t xml:space="preserve"> като върху постъпленията в групата влияние оказват ръста на средната работна заплата, респективно средния осигурителен доход, както и увеличения размер на минималната работна заплата от януари 202</w:t>
      </w:r>
      <w:r>
        <w:rPr>
          <w:noProof/>
          <w:color w:val="000000" w:themeColor="text1"/>
          <w:lang w:val="en-US"/>
        </w:rPr>
        <w:t>5</w:t>
      </w:r>
      <w:r>
        <w:rPr>
          <w:noProof/>
          <w:color w:val="000000" w:themeColor="text1"/>
        </w:rPr>
        <w:t xml:space="preserve"> г.</w:t>
      </w:r>
      <w:r>
        <w:rPr>
          <w:noProof/>
          <w:color w:val="000000" w:themeColor="text1"/>
          <w:lang w:val="en-US"/>
        </w:rPr>
        <w:t>,</w:t>
      </w:r>
      <w:r>
        <w:rPr>
          <w:noProof/>
          <w:color w:val="000000" w:themeColor="text1"/>
        </w:rPr>
        <w:t xml:space="preserve"> ниските нива на безработицата и други. Приходите от косвени данъци нарастват номинално с 0,</w:t>
      </w:r>
      <w:r>
        <w:rPr>
          <w:noProof/>
          <w:color w:val="000000" w:themeColor="text1"/>
          <w:lang w:val="en-US"/>
        </w:rPr>
        <w:t>7</w:t>
      </w:r>
      <w:r>
        <w:rPr>
          <w:noProof/>
          <w:color w:val="000000" w:themeColor="text1"/>
        </w:rPr>
        <w:t xml:space="preserve"> млрд. лв. (</w:t>
      </w:r>
      <w:r>
        <w:rPr>
          <w:noProof/>
          <w:color w:val="000000" w:themeColor="text1"/>
          <w:lang w:val="en-US"/>
        </w:rPr>
        <w:t>12</w:t>
      </w:r>
      <w:r w:rsidR="00AE64A7">
        <w:rPr>
          <w:noProof/>
          <w:color w:val="000000" w:themeColor="text1"/>
        </w:rPr>
        <w:t>,</w:t>
      </w:r>
      <w:r>
        <w:rPr>
          <w:noProof/>
          <w:color w:val="000000" w:themeColor="text1"/>
          <w:lang w:val="en-US"/>
        </w:rPr>
        <w:t>9</w:t>
      </w:r>
      <w:r>
        <w:rPr>
          <w:noProof/>
          <w:color w:val="000000" w:themeColor="text1"/>
        </w:rPr>
        <w:t xml:space="preserve"> на сто) спрямо първото тримесечие на 202</w:t>
      </w:r>
      <w:r>
        <w:rPr>
          <w:noProof/>
          <w:color w:val="000000" w:themeColor="text1"/>
          <w:lang w:val="en-US"/>
        </w:rPr>
        <w:t>4</w:t>
      </w:r>
      <w:r>
        <w:rPr>
          <w:noProof/>
          <w:color w:val="000000" w:themeColor="text1"/>
        </w:rPr>
        <w:t xml:space="preserve"> г., като върху постъпленията в групата влияние оказват </w:t>
      </w:r>
      <w:r>
        <w:t xml:space="preserve">курса на щатския долар, цената </w:t>
      </w:r>
      <w:r w:rsidR="007C16FE">
        <w:t>н</w:t>
      </w:r>
      <w:r>
        <w:t>а суровия петрол на международните пазари, количествата</w:t>
      </w:r>
      <w:r w:rsidRPr="00B15872">
        <w:t xml:space="preserve"> внесени стоки</w:t>
      </w:r>
      <w:r w:rsidR="00201AB8">
        <w:t>,</w:t>
      </w:r>
      <w:r w:rsidRPr="00B15872">
        <w:t xml:space="preserve"> пораждащи ДДС и др. При приходите от акцизи </w:t>
      </w:r>
      <w:r>
        <w:t>за</w:t>
      </w:r>
      <w:r w:rsidRPr="00B15872">
        <w:t xml:space="preserve"> </w:t>
      </w:r>
      <w:r>
        <w:t>януари</w:t>
      </w:r>
      <w:r w:rsidRPr="00B15872">
        <w:t xml:space="preserve"> има ефект от въвед</w:t>
      </w:r>
      <w:r>
        <w:t>ените</w:t>
      </w:r>
      <w:r w:rsidRPr="00B15872">
        <w:t xml:space="preserve"> от 01.0</w:t>
      </w:r>
      <w:r>
        <w:t>1</w:t>
      </w:r>
      <w:r w:rsidRPr="00B15872">
        <w:t>.202</w:t>
      </w:r>
      <w:r>
        <w:t>5</w:t>
      </w:r>
      <w:r w:rsidRPr="00B15872">
        <w:t xml:space="preserve"> г. по-високи акцизни ставки на освободените за потребление количества тютюн и тютюневи изделия, както и презапасяването с цигари и други тютюневи изделия при действието на предходния по-благоприятен акцизен режим.</w:t>
      </w:r>
      <w:r>
        <w:t xml:space="preserve"> Постъпленията в групата на </w:t>
      </w:r>
      <w:r w:rsidRPr="00755792">
        <w:t>други</w:t>
      </w:r>
      <w:r>
        <w:t>те</w:t>
      </w:r>
      <w:r w:rsidRPr="00755792">
        <w:t xml:space="preserve"> данъци</w:t>
      </w:r>
      <w:r>
        <w:t xml:space="preserve"> (включват други данъци по ЗКПО, имуществени и др. данъци) нарастват номинално с 0,1 млрд. лв. </w:t>
      </w:r>
    </w:p>
    <w:p w14:paraId="0285673D" w14:textId="77777777" w:rsidR="00F71A7A" w:rsidRPr="004578E6" w:rsidRDefault="00F71A7A" w:rsidP="00F71A7A">
      <w:pPr>
        <w:autoSpaceDE w:val="0"/>
        <w:autoSpaceDN w:val="0"/>
        <w:adjustRightInd w:val="0"/>
        <w:spacing w:before="120"/>
        <w:jc w:val="both"/>
        <w:rPr>
          <w:rFonts w:eastAsia="Calibri"/>
        </w:rPr>
      </w:pPr>
      <w:r w:rsidRPr="002967D1">
        <w:rPr>
          <w:bCs/>
          <w:iCs/>
        </w:rPr>
        <w:t>Неданъчните приходи нарастват с</w:t>
      </w:r>
      <w:r>
        <w:rPr>
          <w:rFonts w:eastAsia="Calibri"/>
        </w:rPr>
        <w:t xml:space="preserve"> 0,1 млрд. лв. (5,9 % на сто) спрямо същия период на</w:t>
      </w:r>
      <w:r>
        <w:t xml:space="preserve"> 2024</w:t>
      </w:r>
      <w:r>
        <w:rPr>
          <w:lang w:val="en-US"/>
        </w:rPr>
        <w:t> </w:t>
      </w:r>
      <w:r>
        <w:t>г.</w:t>
      </w:r>
      <w:r>
        <w:rPr>
          <w:rFonts w:eastAsia="Calibri"/>
          <w:bCs/>
        </w:rPr>
        <w:t xml:space="preserve"> и се формират основно от приходи от държавни, общински и съдебни такси, приходи и доходи от </w:t>
      </w:r>
      <w:r w:rsidRPr="004578E6">
        <w:rPr>
          <w:rFonts w:eastAsia="Calibri"/>
          <w:bCs/>
        </w:rPr>
        <w:t>собственост, приходи от концесии, приходи от продажба на квоти за емисии на парникови газове и други</w:t>
      </w:r>
      <w:r w:rsidRPr="004578E6">
        <w:rPr>
          <w:rFonts w:eastAsia="Calibri"/>
        </w:rPr>
        <w:t>.</w:t>
      </w:r>
    </w:p>
    <w:p w14:paraId="52D63E24" w14:textId="77777777" w:rsidR="00F71A7A" w:rsidRPr="002967D1" w:rsidRDefault="00F71A7A" w:rsidP="00F71A7A">
      <w:pPr>
        <w:autoSpaceDE w:val="0"/>
        <w:autoSpaceDN w:val="0"/>
        <w:adjustRightInd w:val="0"/>
        <w:spacing w:before="120"/>
        <w:jc w:val="both"/>
      </w:pPr>
      <w:r w:rsidRPr="004578E6">
        <w:t>Постъпленията в частта на помощите и даренията намаляват с 0,7 млрд. лв. спрямо първите два месеца на 2024 г.,</w:t>
      </w:r>
      <w:r>
        <w:t xml:space="preserve"> което се дължи на базо</w:t>
      </w:r>
      <w:r w:rsidRPr="004578E6">
        <w:t>в ефект в 2024 г. от извършените в края на 2023 г., съответно възстановени в началото на 2024 г. от ЕК към България поради крайния срок на допустими разходи по проектите по Оперативните</w:t>
      </w:r>
      <w:r>
        <w:t xml:space="preserve"> програми за програмен период 2013-2020 г.</w:t>
      </w:r>
    </w:p>
    <w:p w14:paraId="001AC0A7" w14:textId="77777777" w:rsidR="00F71A7A" w:rsidRPr="005D051A" w:rsidRDefault="00F71A7A" w:rsidP="00F71A7A">
      <w:pPr>
        <w:spacing w:before="240"/>
        <w:jc w:val="both"/>
        <w:rPr>
          <w:b/>
          <w:i/>
          <w:color w:val="000000" w:themeColor="text1"/>
        </w:rPr>
      </w:pPr>
      <w:r w:rsidRPr="005D051A">
        <w:rPr>
          <w:b/>
          <w:i/>
          <w:color w:val="000000" w:themeColor="text1"/>
        </w:rPr>
        <w:t>Разходи</w:t>
      </w:r>
    </w:p>
    <w:p w14:paraId="1D5D7B6C" w14:textId="05BF0CB7" w:rsidR="00F71A7A" w:rsidRPr="00EF09ED" w:rsidRDefault="00F71A7A" w:rsidP="00F71A7A">
      <w:pPr>
        <w:spacing w:before="120" w:after="120"/>
        <w:jc w:val="both"/>
        <w:rPr>
          <w:rFonts w:eastAsia="Calibri"/>
          <w:color w:val="000000" w:themeColor="text1"/>
        </w:rPr>
      </w:pPr>
      <w:r w:rsidRPr="005D051A">
        <w:rPr>
          <w:rFonts w:eastAsia="Calibri"/>
          <w:color w:val="000000" w:themeColor="text1"/>
        </w:rPr>
        <w:t>Разходите по КФП (вкл. вноската на Република България в бюджета на ЕС) към март 202</w:t>
      </w:r>
      <w:r w:rsidR="00201AB8">
        <w:rPr>
          <w:rFonts w:eastAsia="Calibri"/>
          <w:color w:val="000000" w:themeColor="text1"/>
        </w:rPr>
        <w:t>5</w:t>
      </w:r>
      <w:r w:rsidRPr="005D051A">
        <w:rPr>
          <w:rFonts w:eastAsia="Calibri"/>
          <w:color w:val="000000" w:themeColor="text1"/>
        </w:rPr>
        <w:t xml:space="preserve"> г. нарастват номинално с </w:t>
      </w:r>
      <w:r>
        <w:rPr>
          <w:rFonts w:eastAsia="Calibri"/>
          <w:color w:val="000000" w:themeColor="text1"/>
        </w:rPr>
        <w:t>3,4</w:t>
      </w:r>
      <w:r w:rsidRPr="005D051A">
        <w:rPr>
          <w:rFonts w:eastAsia="Calibri"/>
          <w:color w:val="000000" w:themeColor="text1"/>
        </w:rPr>
        <w:t xml:space="preserve"> млрд. лв. </w:t>
      </w:r>
      <w:r>
        <w:rPr>
          <w:rFonts w:eastAsia="Calibri"/>
          <w:color w:val="000000" w:themeColor="text1"/>
        </w:rPr>
        <w:t>(22,</w:t>
      </w:r>
      <w:r w:rsidR="00201AB8">
        <w:rPr>
          <w:rFonts w:eastAsia="Calibri"/>
          <w:color w:val="000000" w:themeColor="text1"/>
        </w:rPr>
        <w:t>2</w:t>
      </w:r>
      <w:r w:rsidRPr="005D051A">
        <w:rPr>
          <w:rFonts w:eastAsia="Calibri"/>
          <w:color w:val="000000" w:themeColor="text1"/>
        </w:rPr>
        <w:t xml:space="preserve"> </w:t>
      </w:r>
      <w:r>
        <w:rPr>
          <w:rFonts w:eastAsia="Calibri"/>
          <w:color w:val="000000" w:themeColor="text1"/>
        </w:rPr>
        <w:t>на сто) спрямо същия период на предходната година</w:t>
      </w:r>
      <w:r w:rsidRPr="005D051A">
        <w:rPr>
          <w:rFonts w:eastAsia="Calibri"/>
          <w:color w:val="000000" w:themeColor="text1"/>
        </w:rPr>
        <w:t>.</w:t>
      </w:r>
      <w:r>
        <w:rPr>
          <w:rFonts w:eastAsia="Calibri"/>
          <w:color w:val="000000" w:themeColor="text1"/>
        </w:rPr>
        <w:t xml:space="preserve"> </w:t>
      </w:r>
      <w:r w:rsidR="00201AB8">
        <w:rPr>
          <w:rFonts w:eastAsia="Calibri"/>
          <w:color w:val="000000" w:themeColor="text1"/>
        </w:rPr>
        <w:t>С</w:t>
      </w:r>
      <w:r w:rsidRPr="006658F6">
        <w:rPr>
          <w:rFonts w:eastAsia="Calibri"/>
          <w:lang w:val="ru-RU"/>
        </w:rPr>
        <w:t xml:space="preserve">ледва да бъде взето предвид, че през месец февруари 2024 г. има отчетена трансакция по възстановяване на разходи от сметка за чужди средства </w:t>
      </w:r>
      <w:r w:rsidRPr="003803A0">
        <w:rPr>
          <w:rFonts w:eastAsia="Calibri"/>
          <w:lang w:val="ru-RU"/>
        </w:rPr>
        <w:t>на Министерството на регионалното развитие и благоустройството (МРРБ) обратно към бюджета на министерството</w:t>
      </w:r>
      <w:r w:rsidRPr="003803A0">
        <w:rPr>
          <w:rStyle w:val="FootnoteReference"/>
          <w:rFonts w:eastAsia="Calibri"/>
          <w:lang w:val="ru-RU"/>
        </w:rPr>
        <w:footnoteReference w:id="2"/>
      </w:r>
      <w:r w:rsidRPr="003803A0">
        <w:rPr>
          <w:rFonts w:eastAsia="Calibri"/>
          <w:lang w:val="ru-RU"/>
        </w:rPr>
        <w:t xml:space="preserve"> в размер на 1,2</w:t>
      </w:r>
      <w:r w:rsidR="00C03C31">
        <w:rPr>
          <w:rFonts w:eastAsia="Calibri"/>
          <w:lang w:val="ru-RU"/>
        </w:rPr>
        <w:t> </w:t>
      </w:r>
      <w:r w:rsidRPr="003803A0">
        <w:rPr>
          <w:rFonts w:eastAsia="Calibri"/>
          <w:lang w:val="ru-RU"/>
        </w:rPr>
        <w:t>млрд. лв. Поради тази причина в касовия отчет към края на март 2024 г. капиталовите разходи</w:t>
      </w:r>
      <w:r w:rsidRPr="008E60F3">
        <w:rPr>
          <w:rFonts w:eastAsia="Calibri"/>
          <w:lang w:val="ru-RU"/>
        </w:rPr>
        <w:t xml:space="preserve"> по КФП са отрицателни в размер на </w:t>
      </w:r>
      <w:r>
        <w:rPr>
          <w:rFonts w:eastAsia="Calibri"/>
          <w:lang w:val="ru-RU"/>
        </w:rPr>
        <w:t>-0,3</w:t>
      </w:r>
      <w:r w:rsidRPr="008E60F3">
        <w:rPr>
          <w:rFonts w:eastAsia="Calibri"/>
          <w:lang w:val="ru-RU"/>
        </w:rPr>
        <w:t xml:space="preserve"> </w:t>
      </w:r>
      <w:r>
        <w:rPr>
          <w:rFonts w:eastAsia="Calibri"/>
          <w:lang w:val="ru-RU"/>
        </w:rPr>
        <w:t>млрд</w:t>
      </w:r>
      <w:r w:rsidRPr="008E60F3">
        <w:rPr>
          <w:rFonts w:eastAsia="Calibri"/>
          <w:lang w:val="ru-RU"/>
        </w:rPr>
        <w:t xml:space="preserve">. лв. </w:t>
      </w:r>
      <w:r w:rsidRPr="0023122C">
        <w:rPr>
          <w:rFonts w:eastAsia="Calibri"/>
          <w:lang w:val="ru-RU"/>
        </w:rPr>
        <w:t xml:space="preserve">При елиминирането на тази трансакция, с оглед съпоставимост, разходите към края на март 2025 г. нарастват с </w:t>
      </w:r>
      <w:r w:rsidRPr="007C5FA7">
        <w:rPr>
          <w:rFonts w:eastAsia="Calibri"/>
          <w:lang w:val="ru-RU"/>
        </w:rPr>
        <w:t>2</w:t>
      </w:r>
      <w:r>
        <w:rPr>
          <w:rFonts w:eastAsia="Calibri"/>
          <w:lang w:val="ru-RU"/>
        </w:rPr>
        <w:t>,2</w:t>
      </w:r>
      <w:r w:rsidRPr="007C5FA7">
        <w:rPr>
          <w:rFonts w:eastAsia="Calibri"/>
          <w:lang w:val="ru-RU"/>
        </w:rPr>
        <w:t xml:space="preserve"> </w:t>
      </w:r>
      <w:r>
        <w:rPr>
          <w:rFonts w:eastAsia="Calibri"/>
          <w:lang w:val="ru-RU"/>
        </w:rPr>
        <w:t>млрд</w:t>
      </w:r>
      <w:r w:rsidRPr="007C5FA7">
        <w:rPr>
          <w:rFonts w:eastAsia="Calibri"/>
          <w:lang w:val="ru-RU"/>
        </w:rPr>
        <w:t>. лв. (13,3 %).</w:t>
      </w:r>
      <w:r w:rsidRPr="005D051A">
        <w:rPr>
          <w:rFonts w:eastAsia="Calibri"/>
          <w:color w:val="000000" w:themeColor="text1"/>
        </w:rPr>
        <w:t xml:space="preserve"> </w:t>
      </w:r>
      <w:r>
        <w:t>В отделните разходни показатели най-значително нарастване има при разходите за пенсии</w:t>
      </w:r>
      <w:r>
        <w:rPr>
          <w:lang w:val="ru-RU"/>
        </w:rPr>
        <w:t xml:space="preserve"> (0,7</w:t>
      </w:r>
      <w:r>
        <w:t xml:space="preserve"> млрд. лв. или 13,2 на сто</w:t>
      </w:r>
      <w:r>
        <w:rPr>
          <w:lang w:val="ru-RU"/>
        </w:rPr>
        <w:t>)</w:t>
      </w:r>
      <w:r w:rsidRPr="00EA08EC">
        <w:t xml:space="preserve">, разходите за персонал </w:t>
      </w:r>
      <w:r>
        <w:rPr>
          <w:lang w:val="ru-RU"/>
        </w:rPr>
        <w:t>(0,5</w:t>
      </w:r>
      <w:r w:rsidRPr="00EA08EC">
        <w:rPr>
          <w:lang w:val="ru-RU"/>
        </w:rPr>
        <w:t xml:space="preserve"> </w:t>
      </w:r>
      <w:r>
        <w:t>млрд</w:t>
      </w:r>
      <w:r w:rsidRPr="00EA08EC">
        <w:t xml:space="preserve">. лв. или </w:t>
      </w:r>
      <w:r>
        <w:t>12,0</w:t>
      </w:r>
      <w:r w:rsidRPr="00EA08EC">
        <w:t xml:space="preserve"> на сто</w:t>
      </w:r>
      <w:r w:rsidRPr="00EA08EC">
        <w:rPr>
          <w:lang w:val="ru-RU"/>
        </w:rPr>
        <w:t>)</w:t>
      </w:r>
      <w:r w:rsidRPr="00EA08EC">
        <w:t xml:space="preserve">, </w:t>
      </w:r>
      <w:r>
        <w:t xml:space="preserve">здравноосигурителните разходи (0,3 млрд. лв. или 18,9 на сто), </w:t>
      </w:r>
      <w:r w:rsidRPr="00EA08EC">
        <w:t xml:space="preserve">разходите за субсидии </w:t>
      </w:r>
      <w:r w:rsidRPr="00EA08EC">
        <w:rPr>
          <w:lang w:val="ru-RU"/>
        </w:rPr>
        <w:t>(</w:t>
      </w:r>
      <w:r>
        <w:rPr>
          <w:lang w:val="ru-RU"/>
        </w:rPr>
        <w:t>0,2 млрд</w:t>
      </w:r>
      <w:r w:rsidRPr="00EA08EC">
        <w:t>. лв.</w:t>
      </w:r>
      <w:r>
        <w:t xml:space="preserve"> или 14,2 на сто</w:t>
      </w:r>
      <w:r w:rsidRPr="00EA08EC">
        <w:rPr>
          <w:lang w:val="ru-RU"/>
        </w:rPr>
        <w:t>)</w:t>
      </w:r>
      <w:r w:rsidRPr="00EA08EC">
        <w:t xml:space="preserve"> и други. Ръстът на разходите се дължи на влезли в сила нормативни актове, </w:t>
      </w:r>
      <w:r w:rsidR="00EA2ADD">
        <w:t xml:space="preserve">увеличение на пенсиите съгласно действащото законодателство, </w:t>
      </w:r>
      <w:r w:rsidRPr="002E6B9E">
        <w:t>разплащане на задължения от предходната година,</w:t>
      </w:r>
      <w:r>
        <w:t xml:space="preserve"> влезли в сила увеличени размери на възнагражденията в редица администрации, действащи програми за изплащане на компенсации на небитовите крайни потребители на електрическа енергия и други.</w:t>
      </w:r>
      <w:bookmarkEnd w:id="0"/>
    </w:p>
    <w:p w14:paraId="26548CEB" w14:textId="77777777" w:rsidR="00253238" w:rsidRDefault="00253238" w:rsidP="006466C6">
      <w:pPr>
        <w:spacing w:before="120"/>
        <w:jc w:val="both"/>
        <w:rPr>
          <w:color w:val="0070C0"/>
        </w:rPr>
      </w:pPr>
    </w:p>
    <w:p w14:paraId="14AEDB75" w14:textId="77777777" w:rsidR="00253238" w:rsidRPr="007C1F40" w:rsidRDefault="00253238" w:rsidP="00253238">
      <w:pPr>
        <w:keepNext/>
        <w:keepLines/>
        <w:spacing w:before="360"/>
        <w:jc w:val="both"/>
        <w:outlineLvl w:val="2"/>
        <w:rPr>
          <w:b/>
          <w:lang w:eastAsia="bg-BG"/>
        </w:rPr>
      </w:pPr>
      <w:r w:rsidRPr="007C1F40">
        <w:rPr>
          <w:b/>
        </w:rPr>
        <w:t>Информация за разходите по програмите за компенсиране на разходите на небитови крайни клиенти за електрическа енергия и на операторите на електропреносната и електроразпределителните мрежи за закупуване на количества електрическа енергия, потребена за технологични разходи</w:t>
      </w:r>
      <w:r w:rsidRPr="007C1F40">
        <w:rPr>
          <w:b/>
          <w:lang w:eastAsia="bg-BG"/>
        </w:rPr>
        <w:t xml:space="preserve">  </w:t>
      </w:r>
    </w:p>
    <w:p w14:paraId="1325C0F1" w14:textId="77777777" w:rsidR="00253238" w:rsidRPr="00594022" w:rsidRDefault="00253238" w:rsidP="00253238">
      <w:pPr>
        <w:tabs>
          <w:tab w:val="left" w:pos="0"/>
          <w:tab w:val="left" w:pos="1134"/>
        </w:tabs>
        <w:spacing w:before="120"/>
        <w:jc w:val="both"/>
      </w:pPr>
      <w:r w:rsidRPr="00594022">
        <w:t>Към 31.03.2025 г. МС е одобрил (приел) програми с общ индикативен бюджет (ИБ) 877 млн. лв., в т. ч. с  РМС № 294 от 23.04.2024 г. (изменено с РМС № 481 от 2024 г.) Програма за компенсиране на разходи на крайни клиенти за електрическа енергия за периода от 01.01.2024 г. до 31.12.2024 г. (50 млн. лв. ИБ), с РМС № 489 от 2024 г. (изменено с РМС № 542 от 2024 г.) Програма за предоставяне на компенсации за предприятия, нагнетили природен газ в подземното газово хранилище (ПГХ) „Чирен“ в периода от 1 май 2022 г. до 11 октомври 2022 г. (278 млн. лв. ИБ) и с РМС № 546 от 2024 г. (изменено с РМС № 654 от 2024 г. и РМС № 30 от 2025 г.) Програма за компенсиране на разходите на небитови крайни клиенти за електрическа енергия за периода от 1</w:t>
      </w:r>
      <w:r>
        <w:t> </w:t>
      </w:r>
      <w:r w:rsidRPr="00594022">
        <w:t>юли 2024 г. до 31 декември 2024 г. (549 млн. лв. ИБ).</w:t>
      </w:r>
    </w:p>
    <w:p w14:paraId="2A67A230" w14:textId="77777777" w:rsidR="00253238" w:rsidRDefault="00253238" w:rsidP="00253238">
      <w:pPr>
        <w:tabs>
          <w:tab w:val="left" w:pos="0"/>
          <w:tab w:val="left" w:pos="1134"/>
        </w:tabs>
        <w:contextualSpacing/>
        <w:jc w:val="both"/>
      </w:pPr>
      <w:r w:rsidRPr="00594022">
        <w:t xml:space="preserve">През отчетния период (01.01.2025 г. – 31.03.2025 г.) са изплатени 440,4 млн. лв. по одобрената с РМС № 546 от 2024 г. (актуализирана с РМС № 654 от 2024 г. и РМС № 30 от 2025 г.) Програма за компенсиране на разходите на крайни клиенти за електрическа енергия от 01.07.2024 г. до 31.03.2025 г.  </w:t>
      </w:r>
    </w:p>
    <w:p w14:paraId="64C5CD99" w14:textId="77777777" w:rsidR="00253238" w:rsidRPr="00716094" w:rsidRDefault="00253238" w:rsidP="006466C6">
      <w:pPr>
        <w:spacing w:before="120"/>
        <w:jc w:val="both"/>
        <w:rPr>
          <w:color w:val="0070C0"/>
        </w:rPr>
      </w:pPr>
    </w:p>
    <w:p w14:paraId="136D4F56" w14:textId="77777777" w:rsidR="00AD5F24" w:rsidRPr="00716094" w:rsidRDefault="00AD5F24" w:rsidP="00C562E5">
      <w:pPr>
        <w:spacing w:after="120"/>
        <w:jc w:val="both"/>
        <w:rPr>
          <w:rFonts w:ascii="Calibri" w:eastAsia="Calibri" w:hAnsi="Calibri"/>
          <w:color w:val="0070C0"/>
          <w:sz w:val="22"/>
          <w:szCs w:val="22"/>
          <w:lang w:val="ru-RU"/>
        </w:rPr>
      </w:pPr>
      <w:r w:rsidRPr="00716094">
        <w:rPr>
          <w:rFonts w:ascii="Calibri" w:eastAsia="Calibri" w:hAnsi="Calibri"/>
          <w:color w:val="0070C0"/>
          <w:sz w:val="22"/>
          <w:szCs w:val="22"/>
          <w:lang w:val="ru-RU"/>
        </w:rPr>
        <w:br w:type="page"/>
      </w:r>
    </w:p>
    <w:p w14:paraId="6389472B" w14:textId="77777777" w:rsidR="008969AB" w:rsidRPr="00BB329E" w:rsidRDefault="008969AB" w:rsidP="00A34FA2">
      <w:pPr>
        <w:pStyle w:val="Heading1"/>
        <w:numPr>
          <w:ilvl w:val="0"/>
          <w:numId w:val="8"/>
        </w:numPr>
        <w:spacing w:before="360"/>
        <w:ind w:left="533" w:right="-108" w:hanging="391"/>
        <w:jc w:val="both"/>
        <w:rPr>
          <w:sz w:val="24"/>
        </w:rPr>
      </w:pPr>
      <w:r w:rsidRPr="00BB329E">
        <w:rPr>
          <w:sz w:val="24"/>
        </w:rPr>
        <w:t>Основни показатели по консолидираната фискална програма</w:t>
      </w:r>
      <w:r w:rsidRPr="00BB329E">
        <w:rPr>
          <w:rStyle w:val="FootnoteReference"/>
          <w:sz w:val="24"/>
        </w:rPr>
        <w:footnoteReference w:id="3"/>
      </w:r>
      <w:r w:rsidRPr="00BB329E">
        <w:rPr>
          <w:sz w:val="24"/>
        </w:rPr>
        <w:t xml:space="preserve"> за първото тримесечие на 202</w:t>
      </w:r>
      <w:r w:rsidRPr="008D7032">
        <w:rPr>
          <w:sz w:val="24"/>
          <w:lang w:val="ru-RU"/>
        </w:rPr>
        <w:t>5</w:t>
      </w:r>
      <w:r w:rsidRPr="00BB329E">
        <w:rPr>
          <w:sz w:val="24"/>
        </w:rPr>
        <w:t> г.</w:t>
      </w:r>
    </w:p>
    <w:p w14:paraId="247C2DEA" w14:textId="77777777" w:rsidR="008969AB" w:rsidRPr="00BB329E" w:rsidRDefault="008969AB" w:rsidP="008969AB">
      <w:pPr>
        <w:rPr>
          <w:sz w:val="6"/>
          <w:szCs w:val="12"/>
        </w:rPr>
      </w:pPr>
    </w:p>
    <w:p w14:paraId="4AFA360F" w14:textId="77777777" w:rsidR="008969AB" w:rsidRPr="00BB329E" w:rsidRDefault="008969AB" w:rsidP="008969AB">
      <w:pPr>
        <w:jc w:val="both"/>
        <w:rPr>
          <w:lang w:val="ru-RU"/>
        </w:rPr>
      </w:pPr>
    </w:p>
    <w:p w14:paraId="7BF8C54C" w14:textId="77777777" w:rsidR="008969AB" w:rsidRPr="00BB329E" w:rsidRDefault="008969AB" w:rsidP="008969AB">
      <w:pPr>
        <w:jc w:val="both"/>
      </w:pPr>
      <w:r w:rsidRPr="00BB329E">
        <w:t>Изпълнението на основните показатели по консолидираната фискална програма за първото тримесечие на 202</w:t>
      </w:r>
      <w:r w:rsidRPr="008D7032">
        <w:rPr>
          <w:lang w:val="ru-RU"/>
        </w:rPr>
        <w:t>5</w:t>
      </w:r>
      <w:r w:rsidRPr="00BB329E">
        <w:t xml:space="preserve"> г. е представено в следната таблица:</w:t>
      </w:r>
    </w:p>
    <w:p w14:paraId="11B5EB60" w14:textId="77777777" w:rsidR="008969AB" w:rsidRPr="00716094" w:rsidRDefault="008969AB" w:rsidP="008969AB">
      <w:pPr>
        <w:jc w:val="both"/>
        <w:rPr>
          <w:color w:val="0070C0"/>
          <w:sz w:val="4"/>
          <w:szCs w:val="4"/>
        </w:rPr>
      </w:pPr>
    </w:p>
    <w:p w14:paraId="0B13719C" w14:textId="77777777" w:rsidR="008969AB" w:rsidRPr="00BB329E" w:rsidRDefault="008969AB" w:rsidP="008969AB">
      <w:pPr>
        <w:spacing w:before="120"/>
        <w:rPr>
          <w:b/>
          <w:i/>
          <w:sz w:val="22"/>
          <w:szCs w:val="22"/>
        </w:rPr>
      </w:pPr>
      <w:r w:rsidRPr="00BB329E">
        <w:rPr>
          <w:b/>
          <w:i/>
          <w:sz w:val="22"/>
          <w:szCs w:val="22"/>
        </w:rPr>
        <w:t>Таблица</w:t>
      </w:r>
      <w:r w:rsidRPr="00BB329E">
        <w:rPr>
          <w:b/>
          <w:i/>
          <w:sz w:val="22"/>
          <w:szCs w:val="22"/>
          <w:vertAlign w:val="superscript"/>
        </w:rPr>
        <w:footnoteReference w:id="4"/>
      </w:r>
      <w:r w:rsidRPr="00BB329E">
        <w:rPr>
          <w:b/>
          <w:i/>
          <w:sz w:val="22"/>
          <w:szCs w:val="22"/>
        </w:rPr>
        <w:t xml:space="preserve"> №1</w:t>
      </w:r>
      <w:r w:rsidRPr="00BB329E">
        <w:rPr>
          <w:b/>
          <w:i/>
          <w:sz w:val="22"/>
          <w:szCs w:val="22"/>
        </w:rPr>
        <w:tab/>
      </w:r>
    </w:p>
    <w:tbl>
      <w:tblPr>
        <w:tblW w:w="10254" w:type="dxa"/>
        <w:tblInd w:w="98" w:type="dxa"/>
        <w:tblLook w:val="04A0" w:firstRow="1" w:lastRow="0" w:firstColumn="1" w:lastColumn="0" w:noHBand="0" w:noVBand="1"/>
      </w:tblPr>
      <w:tblGrid>
        <w:gridCol w:w="4250"/>
        <w:gridCol w:w="1147"/>
        <w:gridCol w:w="1227"/>
        <w:gridCol w:w="1222"/>
        <w:gridCol w:w="1199"/>
        <w:gridCol w:w="1209"/>
      </w:tblGrid>
      <w:tr w:rsidR="008969AB" w:rsidRPr="00055A89" w14:paraId="61C0A000" w14:textId="77777777" w:rsidTr="00201AB8">
        <w:trPr>
          <w:trHeight w:val="265"/>
        </w:trPr>
        <w:tc>
          <w:tcPr>
            <w:tcW w:w="4250" w:type="dxa"/>
            <w:vMerge w:val="restart"/>
            <w:tcBorders>
              <w:top w:val="single" w:sz="8" w:space="0" w:color="auto"/>
              <w:left w:val="single" w:sz="8" w:space="0" w:color="auto"/>
              <w:bottom w:val="single" w:sz="4" w:space="0" w:color="000000"/>
              <w:right w:val="nil"/>
            </w:tcBorders>
            <w:shd w:val="clear" w:color="000000" w:fill="D9D9D9"/>
            <w:noWrap/>
            <w:vAlign w:val="bottom"/>
            <w:hideMark/>
          </w:tcPr>
          <w:p w14:paraId="03FA15D6" w14:textId="77777777" w:rsidR="008969AB" w:rsidRPr="00055A89" w:rsidRDefault="008969AB" w:rsidP="00201AB8">
            <w:pPr>
              <w:jc w:val="center"/>
              <w:rPr>
                <w:b/>
                <w:bCs/>
                <w:sz w:val="18"/>
                <w:szCs w:val="18"/>
              </w:rPr>
            </w:pPr>
            <w:r w:rsidRPr="00055A89">
              <w:rPr>
                <w:b/>
                <w:bCs/>
                <w:sz w:val="18"/>
                <w:szCs w:val="18"/>
              </w:rPr>
              <w:t>ПОКАЗАТЕЛ</w:t>
            </w:r>
          </w:p>
        </w:tc>
        <w:tc>
          <w:tcPr>
            <w:tcW w:w="1147" w:type="dxa"/>
            <w:tcBorders>
              <w:top w:val="single" w:sz="8" w:space="0" w:color="auto"/>
              <w:left w:val="single" w:sz="4" w:space="0" w:color="auto"/>
              <w:bottom w:val="nil"/>
              <w:right w:val="single" w:sz="4" w:space="0" w:color="auto"/>
            </w:tcBorders>
            <w:shd w:val="clear" w:color="000000" w:fill="D9D9D9"/>
            <w:noWrap/>
            <w:vAlign w:val="bottom"/>
            <w:hideMark/>
          </w:tcPr>
          <w:p w14:paraId="2C247402" w14:textId="77777777" w:rsidR="008969AB" w:rsidRPr="00055A89" w:rsidRDefault="008969AB" w:rsidP="00201AB8">
            <w:pPr>
              <w:jc w:val="center"/>
              <w:rPr>
                <w:b/>
                <w:bCs/>
                <w:sz w:val="18"/>
                <w:szCs w:val="18"/>
                <w:highlight w:val="yellow"/>
              </w:rPr>
            </w:pPr>
            <w:r w:rsidRPr="00055A89">
              <w:rPr>
                <w:b/>
                <w:bCs/>
                <w:sz w:val="18"/>
                <w:szCs w:val="18"/>
              </w:rPr>
              <w:t>Разчет 20</w:t>
            </w:r>
            <w:r w:rsidRPr="00055A89">
              <w:rPr>
                <w:b/>
                <w:bCs/>
                <w:sz w:val="18"/>
                <w:szCs w:val="18"/>
                <w:lang w:val="en-US"/>
              </w:rPr>
              <w:t>25</w:t>
            </w:r>
            <w:r w:rsidRPr="00055A89">
              <w:rPr>
                <w:b/>
                <w:bCs/>
                <w:sz w:val="18"/>
                <w:szCs w:val="18"/>
              </w:rPr>
              <w:t xml:space="preserve"> г.</w:t>
            </w:r>
            <w:r w:rsidRPr="00055A89">
              <w:rPr>
                <w:rStyle w:val="FootnoteReference"/>
                <w:b/>
                <w:bCs/>
                <w:sz w:val="18"/>
                <w:szCs w:val="18"/>
              </w:rPr>
              <w:footnoteReference w:id="5"/>
            </w:r>
          </w:p>
        </w:tc>
        <w:tc>
          <w:tcPr>
            <w:tcW w:w="3648" w:type="dxa"/>
            <w:gridSpan w:val="3"/>
            <w:tcBorders>
              <w:top w:val="single" w:sz="8" w:space="0" w:color="auto"/>
              <w:left w:val="nil"/>
              <w:bottom w:val="single" w:sz="4" w:space="0" w:color="auto"/>
              <w:right w:val="single" w:sz="4" w:space="0" w:color="auto"/>
            </w:tcBorders>
            <w:shd w:val="clear" w:color="000000" w:fill="D9D9D9"/>
            <w:noWrap/>
            <w:vAlign w:val="center"/>
            <w:hideMark/>
          </w:tcPr>
          <w:p w14:paraId="0D832C39" w14:textId="77777777" w:rsidR="008969AB" w:rsidRPr="00055A89" w:rsidRDefault="008969AB" w:rsidP="00201AB8">
            <w:pPr>
              <w:jc w:val="center"/>
              <w:rPr>
                <w:b/>
                <w:bCs/>
                <w:sz w:val="18"/>
                <w:szCs w:val="18"/>
              </w:rPr>
            </w:pPr>
            <w:r w:rsidRPr="00055A89">
              <w:rPr>
                <w:b/>
                <w:bCs/>
                <w:sz w:val="18"/>
                <w:szCs w:val="18"/>
              </w:rPr>
              <w:t>Отчет към 31.03.20</w:t>
            </w:r>
            <w:r w:rsidRPr="00055A89">
              <w:rPr>
                <w:b/>
                <w:bCs/>
                <w:sz w:val="18"/>
                <w:szCs w:val="18"/>
                <w:lang w:val="en-US"/>
              </w:rPr>
              <w:t>2</w:t>
            </w:r>
            <w:r w:rsidRPr="00055A89">
              <w:rPr>
                <w:b/>
                <w:bCs/>
                <w:sz w:val="18"/>
                <w:szCs w:val="18"/>
              </w:rPr>
              <w:t>5 г.</w:t>
            </w:r>
          </w:p>
        </w:tc>
        <w:tc>
          <w:tcPr>
            <w:tcW w:w="1209" w:type="dxa"/>
            <w:tcBorders>
              <w:top w:val="single" w:sz="8" w:space="0" w:color="auto"/>
              <w:left w:val="nil"/>
              <w:bottom w:val="nil"/>
              <w:right w:val="single" w:sz="8" w:space="0" w:color="auto"/>
            </w:tcBorders>
            <w:shd w:val="clear" w:color="000000" w:fill="D9D9D9"/>
            <w:noWrap/>
            <w:vAlign w:val="bottom"/>
            <w:hideMark/>
          </w:tcPr>
          <w:p w14:paraId="7C4442B9" w14:textId="77777777" w:rsidR="008969AB" w:rsidRPr="00055A89" w:rsidRDefault="008969AB" w:rsidP="00201AB8">
            <w:pPr>
              <w:jc w:val="center"/>
              <w:rPr>
                <w:b/>
                <w:bCs/>
                <w:sz w:val="18"/>
                <w:szCs w:val="18"/>
              </w:rPr>
            </w:pPr>
            <w:r w:rsidRPr="00055A89">
              <w:rPr>
                <w:b/>
                <w:bCs/>
                <w:sz w:val="18"/>
                <w:szCs w:val="18"/>
              </w:rPr>
              <w:t>Изпълнение</w:t>
            </w:r>
          </w:p>
        </w:tc>
      </w:tr>
      <w:tr w:rsidR="008969AB" w:rsidRPr="00055A89" w14:paraId="6AC058EF" w14:textId="77777777" w:rsidTr="00201AB8">
        <w:trPr>
          <w:trHeight w:val="250"/>
        </w:trPr>
        <w:tc>
          <w:tcPr>
            <w:tcW w:w="4250" w:type="dxa"/>
            <w:vMerge/>
            <w:tcBorders>
              <w:top w:val="single" w:sz="8" w:space="0" w:color="auto"/>
              <w:left w:val="single" w:sz="8" w:space="0" w:color="auto"/>
              <w:bottom w:val="single" w:sz="4" w:space="0" w:color="000000"/>
              <w:right w:val="nil"/>
            </w:tcBorders>
            <w:vAlign w:val="center"/>
            <w:hideMark/>
          </w:tcPr>
          <w:p w14:paraId="35C71650" w14:textId="77777777" w:rsidR="008969AB" w:rsidRPr="00055A89" w:rsidRDefault="008969AB" w:rsidP="00201AB8">
            <w:pPr>
              <w:rPr>
                <w:b/>
                <w:bCs/>
                <w:sz w:val="18"/>
                <w:szCs w:val="18"/>
              </w:rPr>
            </w:pPr>
          </w:p>
        </w:tc>
        <w:tc>
          <w:tcPr>
            <w:tcW w:w="1147" w:type="dxa"/>
            <w:tcBorders>
              <w:top w:val="nil"/>
              <w:left w:val="single" w:sz="4" w:space="0" w:color="auto"/>
              <w:bottom w:val="single" w:sz="4" w:space="0" w:color="auto"/>
              <w:right w:val="single" w:sz="4" w:space="0" w:color="auto"/>
            </w:tcBorders>
            <w:shd w:val="clear" w:color="000000" w:fill="D9D9D9"/>
            <w:noWrap/>
            <w:vAlign w:val="bottom"/>
            <w:hideMark/>
          </w:tcPr>
          <w:p w14:paraId="31AFCDA2" w14:textId="77777777" w:rsidR="008969AB" w:rsidRPr="00055A89" w:rsidRDefault="008969AB" w:rsidP="00201AB8">
            <w:pPr>
              <w:jc w:val="center"/>
              <w:rPr>
                <w:b/>
                <w:bCs/>
                <w:sz w:val="18"/>
                <w:szCs w:val="18"/>
              </w:rPr>
            </w:pPr>
            <w:r w:rsidRPr="00055A89">
              <w:rPr>
                <w:b/>
                <w:bCs/>
                <w:sz w:val="18"/>
                <w:szCs w:val="18"/>
              </w:rPr>
              <w:t xml:space="preserve"> КФП</w:t>
            </w:r>
          </w:p>
        </w:tc>
        <w:tc>
          <w:tcPr>
            <w:tcW w:w="1227" w:type="dxa"/>
            <w:tcBorders>
              <w:top w:val="nil"/>
              <w:left w:val="nil"/>
              <w:bottom w:val="single" w:sz="4" w:space="0" w:color="auto"/>
              <w:right w:val="single" w:sz="4" w:space="0" w:color="auto"/>
            </w:tcBorders>
            <w:shd w:val="clear" w:color="000000" w:fill="D9D9D9"/>
            <w:noWrap/>
            <w:vAlign w:val="bottom"/>
            <w:hideMark/>
          </w:tcPr>
          <w:p w14:paraId="4070A022" w14:textId="77777777" w:rsidR="008969AB" w:rsidRPr="00055A89" w:rsidRDefault="008969AB" w:rsidP="00201AB8">
            <w:pPr>
              <w:jc w:val="center"/>
              <w:rPr>
                <w:b/>
                <w:bCs/>
                <w:sz w:val="18"/>
                <w:szCs w:val="18"/>
              </w:rPr>
            </w:pPr>
            <w:r w:rsidRPr="00055A89">
              <w:rPr>
                <w:b/>
                <w:bCs/>
                <w:sz w:val="18"/>
                <w:szCs w:val="18"/>
              </w:rPr>
              <w:t xml:space="preserve"> КФП</w:t>
            </w:r>
          </w:p>
        </w:tc>
        <w:tc>
          <w:tcPr>
            <w:tcW w:w="1222" w:type="dxa"/>
            <w:tcBorders>
              <w:top w:val="nil"/>
              <w:left w:val="nil"/>
              <w:bottom w:val="single" w:sz="4" w:space="0" w:color="auto"/>
              <w:right w:val="single" w:sz="4" w:space="0" w:color="auto"/>
            </w:tcBorders>
            <w:shd w:val="clear" w:color="000000" w:fill="D9D9D9"/>
            <w:noWrap/>
            <w:vAlign w:val="bottom"/>
            <w:hideMark/>
          </w:tcPr>
          <w:p w14:paraId="3BBC21DA" w14:textId="77777777" w:rsidR="008969AB" w:rsidRPr="00055A89" w:rsidRDefault="008969AB" w:rsidP="00201AB8">
            <w:pPr>
              <w:jc w:val="center"/>
              <w:rPr>
                <w:b/>
                <w:bCs/>
                <w:sz w:val="18"/>
                <w:szCs w:val="18"/>
              </w:rPr>
            </w:pPr>
            <w:r w:rsidRPr="00055A89">
              <w:rPr>
                <w:b/>
                <w:bCs/>
                <w:sz w:val="18"/>
                <w:szCs w:val="18"/>
              </w:rPr>
              <w:t>Национален бюджет</w:t>
            </w:r>
          </w:p>
        </w:tc>
        <w:tc>
          <w:tcPr>
            <w:tcW w:w="1199" w:type="dxa"/>
            <w:tcBorders>
              <w:top w:val="nil"/>
              <w:left w:val="nil"/>
              <w:bottom w:val="single" w:sz="4" w:space="0" w:color="auto"/>
              <w:right w:val="single" w:sz="4" w:space="0" w:color="auto"/>
            </w:tcBorders>
            <w:shd w:val="clear" w:color="000000" w:fill="D9D9D9"/>
            <w:noWrap/>
            <w:vAlign w:val="bottom"/>
            <w:hideMark/>
          </w:tcPr>
          <w:p w14:paraId="3B6B7872" w14:textId="77777777" w:rsidR="008969AB" w:rsidRPr="00055A89" w:rsidRDefault="008969AB" w:rsidP="00201AB8">
            <w:pPr>
              <w:jc w:val="center"/>
              <w:rPr>
                <w:b/>
                <w:bCs/>
                <w:sz w:val="18"/>
                <w:szCs w:val="18"/>
              </w:rPr>
            </w:pPr>
            <w:r w:rsidRPr="00055A89">
              <w:rPr>
                <w:b/>
                <w:bCs/>
                <w:sz w:val="18"/>
                <w:szCs w:val="18"/>
              </w:rPr>
              <w:t>Европейски средства</w:t>
            </w:r>
          </w:p>
        </w:tc>
        <w:tc>
          <w:tcPr>
            <w:tcW w:w="1209" w:type="dxa"/>
            <w:tcBorders>
              <w:top w:val="nil"/>
              <w:left w:val="nil"/>
              <w:bottom w:val="single" w:sz="4" w:space="0" w:color="auto"/>
              <w:right w:val="single" w:sz="8" w:space="0" w:color="auto"/>
            </w:tcBorders>
            <w:shd w:val="clear" w:color="000000" w:fill="D9D9D9"/>
            <w:noWrap/>
            <w:vAlign w:val="bottom"/>
            <w:hideMark/>
          </w:tcPr>
          <w:p w14:paraId="24F8757F" w14:textId="77777777" w:rsidR="008969AB" w:rsidRPr="00055A89" w:rsidRDefault="008969AB" w:rsidP="00201AB8">
            <w:pPr>
              <w:jc w:val="center"/>
              <w:rPr>
                <w:b/>
                <w:bCs/>
                <w:sz w:val="18"/>
                <w:szCs w:val="18"/>
              </w:rPr>
            </w:pPr>
            <w:r w:rsidRPr="00055A89">
              <w:rPr>
                <w:b/>
                <w:bCs/>
                <w:sz w:val="18"/>
                <w:szCs w:val="18"/>
              </w:rPr>
              <w:t>спрямо разчет</w:t>
            </w:r>
          </w:p>
        </w:tc>
      </w:tr>
      <w:tr w:rsidR="008969AB" w:rsidRPr="00055A89" w14:paraId="3DAFDC97" w14:textId="77777777" w:rsidTr="00201AB8">
        <w:trPr>
          <w:trHeight w:val="265"/>
        </w:trPr>
        <w:tc>
          <w:tcPr>
            <w:tcW w:w="4250" w:type="dxa"/>
            <w:tcBorders>
              <w:top w:val="nil"/>
              <w:left w:val="single" w:sz="8" w:space="0" w:color="auto"/>
              <w:bottom w:val="single" w:sz="8" w:space="0" w:color="auto"/>
              <w:right w:val="nil"/>
            </w:tcBorders>
            <w:shd w:val="clear" w:color="000000" w:fill="D9D9D9"/>
            <w:noWrap/>
            <w:vAlign w:val="bottom"/>
            <w:hideMark/>
          </w:tcPr>
          <w:p w14:paraId="7020B3D2" w14:textId="77777777" w:rsidR="008969AB" w:rsidRPr="00055A89" w:rsidRDefault="008969AB" w:rsidP="00201AB8">
            <w:pPr>
              <w:jc w:val="center"/>
              <w:rPr>
                <w:sz w:val="18"/>
                <w:szCs w:val="18"/>
              </w:rPr>
            </w:pPr>
            <w:r w:rsidRPr="00055A89">
              <w:rPr>
                <w:sz w:val="18"/>
                <w:szCs w:val="18"/>
              </w:rPr>
              <w:t>к.1</w:t>
            </w:r>
          </w:p>
        </w:tc>
        <w:tc>
          <w:tcPr>
            <w:tcW w:w="1147" w:type="dxa"/>
            <w:tcBorders>
              <w:top w:val="nil"/>
              <w:left w:val="single" w:sz="4" w:space="0" w:color="auto"/>
              <w:bottom w:val="single" w:sz="8" w:space="0" w:color="auto"/>
              <w:right w:val="single" w:sz="4" w:space="0" w:color="auto"/>
            </w:tcBorders>
            <w:shd w:val="clear" w:color="000000" w:fill="D9D9D9"/>
            <w:noWrap/>
            <w:vAlign w:val="bottom"/>
            <w:hideMark/>
          </w:tcPr>
          <w:p w14:paraId="319F67D1" w14:textId="77777777" w:rsidR="008969AB" w:rsidRPr="00055A89" w:rsidRDefault="008969AB" w:rsidP="00201AB8">
            <w:pPr>
              <w:jc w:val="center"/>
              <w:rPr>
                <w:bCs/>
                <w:sz w:val="18"/>
                <w:szCs w:val="18"/>
              </w:rPr>
            </w:pPr>
            <w:r w:rsidRPr="00055A89">
              <w:rPr>
                <w:bCs/>
                <w:sz w:val="18"/>
                <w:szCs w:val="18"/>
              </w:rPr>
              <w:t>к.2</w:t>
            </w:r>
          </w:p>
        </w:tc>
        <w:tc>
          <w:tcPr>
            <w:tcW w:w="1227" w:type="dxa"/>
            <w:tcBorders>
              <w:top w:val="nil"/>
              <w:left w:val="nil"/>
              <w:bottom w:val="single" w:sz="8" w:space="0" w:color="auto"/>
              <w:right w:val="single" w:sz="4" w:space="0" w:color="auto"/>
            </w:tcBorders>
            <w:shd w:val="clear" w:color="000000" w:fill="D9D9D9"/>
            <w:noWrap/>
            <w:vAlign w:val="bottom"/>
            <w:hideMark/>
          </w:tcPr>
          <w:p w14:paraId="4B5E7F63" w14:textId="77777777" w:rsidR="008969AB" w:rsidRPr="00055A89" w:rsidRDefault="008969AB" w:rsidP="00201AB8">
            <w:pPr>
              <w:jc w:val="center"/>
              <w:rPr>
                <w:sz w:val="18"/>
                <w:szCs w:val="18"/>
              </w:rPr>
            </w:pPr>
            <w:r w:rsidRPr="00055A89">
              <w:rPr>
                <w:sz w:val="18"/>
                <w:szCs w:val="18"/>
              </w:rPr>
              <w:t>к.3=к.4+к.5</w:t>
            </w:r>
          </w:p>
        </w:tc>
        <w:tc>
          <w:tcPr>
            <w:tcW w:w="1222" w:type="dxa"/>
            <w:tcBorders>
              <w:top w:val="nil"/>
              <w:left w:val="nil"/>
              <w:bottom w:val="single" w:sz="8" w:space="0" w:color="auto"/>
              <w:right w:val="single" w:sz="4" w:space="0" w:color="auto"/>
            </w:tcBorders>
            <w:shd w:val="clear" w:color="000000" w:fill="D9D9D9"/>
            <w:noWrap/>
            <w:vAlign w:val="bottom"/>
            <w:hideMark/>
          </w:tcPr>
          <w:p w14:paraId="0349D73B" w14:textId="77777777" w:rsidR="008969AB" w:rsidRPr="00055A89" w:rsidRDefault="008969AB" w:rsidP="00201AB8">
            <w:pPr>
              <w:jc w:val="center"/>
              <w:rPr>
                <w:sz w:val="18"/>
                <w:szCs w:val="18"/>
              </w:rPr>
            </w:pPr>
            <w:r w:rsidRPr="00055A89">
              <w:rPr>
                <w:sz w:val="18"/>
                <w:szCs w:val="18"/>
              </w:rPr>
              <w:t>к.4</w:t>
            </w:r>
          </w:p>
        </w:tc>
        <w:tc>
          <w:tcPr>
            <w:tcW w:w="1199" w:type="dxa"/>
            <w:tcBorders>
              <w:top w:val="nil"/>
              <w:left w:val="nil"/>
              <w:bottom w:val="single" w:sz="8" w:space="0" w:color="auto"/>
              <w:right w:val="single" w:sz="4" w:space="0" w:color="auto"/>
            </w:tcBorders>
            <w:shd w:val="clear" w:color="000000" w:fill="D9D9D9"/>
            <w:noWrap/>
            <w:vAlign w:val="bottom"/>
            <w:hideMark/>
          </w:tcPr>
          <w:p w14:paraId="42D292E1" w14:textId="77777777" w:rsidR="008969AB" w:rsidRPr="00055A89" w:rsidRDefault="008969AB" w:rsidP="00201AB8">
            <w:pPr>
              <w:jc w:val="center"/>
              <w:rPr>
                <w:sz w:val="18"/>
                <w:szCs w:val="18"/>
              </w:rPr>
            </w:pPr>
            <w:r w:rsidRPr="00055A89">
              <w:rPr>
                <w:sz w:val="18"/>
                <w:szCs w:val="18"/>
              </w:rPr>
              <w:t>к.5</w:t>
            </w:r>
          </w:p>
        </w:tc>
        <w:tc>
          <w:tcPr>
            <w:tcW w:w="1209" w:type="dxa"/>
            <w:tcBorders>
              <w:top w:val="nil"/>
              <w:left w:val="nil"/>
              <w:bottom w:val="single" w:sz="8" w:space="0" w:color="auto"/>
              <w:right w:val="single" w:sz="8" w:space="0" w:color="auto"/>
            </w:tcBorders>
            <w:shd w:val="clear" w:color="000000" w:fill="D9D9D9"/>
            <w:noWrap/>
            <w:vAlign w:val="bottom"/>
            <w:hideMark/>
          </w:tcPr>
          <w:p w14:paraId="23598E2B" w14:textId="77777777" w:rsidR="008969AB" w:rsidRPr="00055A89" w:rsidRDefault="008969AB" w:rsidP="00201AB8">
            <w:pPr>
              <w:jc w:val="center"/>
              <w:rPr>
                <w:bCs/>
                <w:sz w:val="18"/>
                <w:szCs w:val="18"/>
              </w:rPr>
            </w:pPr>
            <w:r w:rsidRPr="00055A89">
              <w:rPr>
                <w:bCs/>
                <w:sz w:val="18"/>
                <w:szCs w:val="18"/>
              </w:rPr>
              <w:t>к.6=к.3:к.2</w:t>
            </w:r>
          </w:p>
        </w:tc>
      </w:tr>
      <w:tr w:rsidR="008969AB" w:rsidRPr="00BB329E" w14:paraId="1E830204" w14:textId="77777777" w:rsidTr="00201AB8">
        <w:trPr>
          <w:trHeight w:val="250"/>
        </w:trPr>
        <w:tc>
          <w:tcPr>
            <w:tcW w:w="4250" w:type="dxa"/>
            <w:tcBorders>
              <w:top w:val="single" w:sz="8" w:space="0" w:color="auto"/>
              <w:left w:val="single" w:sz="8" w:space="0" w:color="auto"/>
              <w:bottom w:val="nil"/>
              <w:right w:val="single" w:sz="4" w:space="0" w:color="auto"/>
            </w:tcBorders>
            <w:shd w:val="clear" w:color="auto" w:fill="auto"/>
            <w:noWrap/>
            <w:vAlign w:val="bottom"/>
            <w:hideMark/>
          </w:tcPr>
          <w:p w14:paraId="1EAE65F3" w14:textId="77777777" w:rsidR="008969AB" w:rsidRPr="00134765" w:rsidRDefault="008969AB" w:rsidP="00201AB8">
            <w:pPr>
              <w:rPr>
                <w:b/>
                <w:bCs/>
                <w:sz w:val="18"/>
                <w:szCs w:val="18"/>
              </w:rPr>
            </w:pPr>
            <w:r w:rsidRPr="00134765">
              <w:rPr>
                <w:b/>
                <w:bCs/>
                <w:sz w:val="18"/>
                <w:szCs w:val="18"/>
              </w:rPr>
              <w:t>ПРИХОДИ, ПОМОЩИ И ДАРЕНИЯ</w:t>
            </w:r>
          </w:p>
        </w:tc>
        <w:tc>
          <w:tcPr>
            <w:tcW w:w="1147" w:type="dxa"/>
            <w:tcBorders>
              <w:top w:val="nil"/>
              <w:left w:val="single" w:sz="4" w:space="0" w:color="auto"/>
              <w:bottom w:val="nil"/>
              <w:right w:val="nil"/>
            </w:tcBorders>
            <w:shd w:val="clear" w:color="auto" w:fill="auto"/>
            <w:noWrap/>
            <w:vAlign w:val="bottom"/>
            <w:hideMark/>
          </w:tcPr>
          <w:p w14:paraId="2389CDA2" w14:textId="77777777" w:rsidR="008969AB" w:rsidRDefault="008969AB" w:rsidP="00201AB8">
            <w:pPr>
              <w:jc w:val="right"/>
              <w:rPr>
                <w:b/>
                <w:bCs/>
                <w:sz w:val="18"/>
                <w:szCs w:val="18"/>
              </w:rPr>
            </w:pPr>
            <w:r>
              <w:rPr>
                <w:b/>
                <w:bCs/>
                <w:sz w:val="18"/>
                <w:szCs w:val="18"/>
              </w:rPr>
              <w:t>90 270,8</w:t>
            </w:r>
          </w:p>
        </w:tc>
        <w:tc>
          <w:tcPr>
            <w:tcW w:w="1227" w:type="dxa"/>
            <w:tcBorders>
              <w:top w:val="nil"/>
              <w:left w:val="nil"/>
              <w:bottom w:val="nil"/>
              <w:right w:val="nil"/>
            </w:tcBorders>
            <w:shd w:val="clear" w:color="auto" w:fill="auto"/>
            <w:noWrap/>
            <w:vAlign w:val="bottom"/>
            <w:hideMark/>
          </w:tcPr>
          <w:p w14:paraId="78A275B9" w14:textId="77777777" w:rsidR="008969AB" w:rsidRDefault="008969AB" w:rsidP="00201AB8">
            <w:pPr>
              <w:jc w:val="right"/>
              <w:rPr>
                <w:b/>
                <w:bCs/>
                <w:sz w:val="18"/>
                <w:szCs w:val="18"/>
              </w:rPr>
            </w:pPr>
            <w:r>
              <w:rPr>
                <w:b/>
                <w:bCs/>
                <w:sz w:val="18"/>
                <w:szCs w:val="18"/>
              </w:rPr>
              <w:t>16 834,3</w:t>
            </w:r>
          </w:p>
        </w:tc>
        <w:tc>
          <w:tcPr>
            <w:tcW w:w="1222" w:type="dxa"/>
            <w:tcBorders>
              <w:top w:val="nil"/>
              <w:left w:val="nil"/>
              <w:bottom w:val="nil"/>
              <w:right w:val="nil"/>
            </w:tcBorders>
            <w:shd w:val="clear" w:color="auto" w:fill="auto"/>
            <w:noWrap/>
            <w:vAlign w:val="bottom"/>
            <w:hideMark/>
          </w:tcPr>
          <w:p w14:paraId="0B8B2B0D" w14:textId="77777777" w:rsidR="008969AB" w:rsidRDefault="008969AB" w:rsidP="00201AB8">
            <w:pPr>
              <w:jc w:val="right"/>
              <w:rPr>
                <w:b/>
                <w:bCs/>
                <w:color w:val="000000"/>
                <w:sz w:val="18"/>
                <w:szCs w:val="18"/>
              </w:rPr>
            </w:pPr>
            <w:r>
              <w:rPr>
                <w:b/>
                <w:bCs/>
                <w:color w:val="000000"/>
                <w:sz w:val="18"/>
                <w:szCs w:val="18"/>
              </w:rPr>
              <w:t>16 449,2</w:t>
            </w:r>
          </w:p>
        </w:tc>
        <w:tc>
          <w:tcPr>
            <w:tcW w:w="1199" w:type="dxa"/>
            <w:tcBorders>
              <w:top w:val="nil"/>
              <w:left w:val="nil"/>
              <w:bottom w:val="nil"/>
              <w:right w:val="nil"/>
            </w:tcBorders>
            <w:shd w:val="clear" w:color="auto" w:fill="auto"/>
            <w:noWrap/>
            <w:vAlign w:val="bottom"/>
            <w:hideMark/>
          </w:tcPr>
          <w:p w14:paraId="74FF5A7A" w14:textId="77777777" w:rsidR="008969AB" w:rsidRDefault="008969AB" w:rsidP="00201AB8">
            <w:pPr>
              <w:jc w:val="right"/>
              <w:rPr>
                <w:b/>
                <w:bCs/>
                <w:color w:val="000000"/>
                <w:sz w:val="18"/>
                <w:szCs w:val="18"/>
              </w:rPr>
            </w:pPr>
            <w:r>
              <w:rPr>
                <w:b/>
                <w:bCs/>
                <w:color w:val="000000"/>
                <w:sz w:val="18"/>
                <w:szCs w:val="18"/>
              </w:rPr>
              <w:t>385,2</w:t>
            </w:r>
          </w:p>
        </w:tc>
        <w:tc>
          <w:tcPr>
            <w:tcW w:w="1209" w:type="dxa"/>
            <w:tcBorders>
              <w:top w:val="single" w:sz="8" w:space="0" w:color="auto"/>
              <w:left w:val="nil"/>
              <w:bottom w:val="nil"/>
              <w:right w:val="single" w:sz="4" w:space="0" w:color="auto"/>
            </w:tcBorders>
            <w:shd w:val="clear" w:color="auto" w:fill="auto"/>
            <w:noWrap/>
            <w:vAlign w:val="bottom"/>
            <w:hideMark/>
          </w:tcPr>
          <w:p w14:paraId="033EE27A" w14:textId="77777777" w:rsidR="008969AB" w:rsidRDefault="008969AB" w:rsidP="00201AB8">
            <w:pPr>
              <w:jc w:val="right"/>
              <w:rPr>
                <w:b/>
                <w:bCs/>
                <w:sz w:val="18"/>
                <w:szCs w:val="18"/>
              </w:rPr>
            </w:pPr>
            <w:r>
              <w:rPr>
                <w:b/>
                <w:bCs/>
                <w:sz w:val="18"/>
                <w:szCs w:val="18"/>
              </w:rPr>
              <w:t>18,6%</w:t>
            </w:r>
          </w:p>
        </w:tc>
      </w:tr>
      <w:tr w:rsidR="008969AB" w:rsidRPr="00BB329E" w14:paraId="2772875F" w14:textId="77777777" w:rsidTr="00201AB8">
        <w:trPr>
          <w:trHeight w:val="250"/>
        </w:trPr>
        <w:tc>
          <w:tcPr>
            <w:tcW w:w="4250" w:type="dxa"/>
            <w:tcBorders>
              <w:top w:val="nil"/>
              <w:left w:val="single" w:sz="8" w:space="0" w:color="auto"/>
              <w:bottom w:val="nil"/>
              <w:right w:val="single" w:sz="4" w:space="0" w:color="auto"/>
            </w:tcBorders>
            <w:shd w:val="clear" w:color="auto" w:fill="auto"/>
            <w:noWrap/>
            <w:vAlign w:val="bottom"/>
            <w:hideMark/>
          </w:tcPr>
          <w:p w14:paraId="22F126ED" w14:textId="77777777" w:rsidR="008969AB" w:rsidRPr="00134765" w:rsidRDefault="008969AB" w:rsidP="00201AB8">
            <w:pPr>
              <w:rPr>
                <w:sz w:val="18"/>
                <w:szCs w:val="18"/>
              </w:rPr>
            </w:pPr>
            <w:r w:rsidRPr="00134765">
              <w:rPr>
                <w:sz w:val="18"/>
                <w:szCs w:val="18"/>
              </w:rPr>
              <w:t xml:space="preserve">  Данъчни приходи</w:t>
            </w:r>
          </w:p>
        </w:tc>
        <w:tc>
          <w:tcPr>
            <w:tcW w:w="1147" w:type="dxa"/>
            <w:tcBorders>
              <w:top w:val="nil"/>
              <w:left w:val="single" w:sz="4" w:space="0" w:color="auto"/>
              <w:bottom w:val="nil"/>
              <w:right w:val="nil"/>
            </w:tcBorders>
            <w:shd w:val="clear" w:color="auto" w:fill="auto"/>
            <w:noWrap/>
            <w:vAlign w:val="bottom"/>
            <w:hideMark/>
          </w:tcPr>
          <w:p w14:paraId="186F29EB" w14:textId="77777777" w:rsidR="008969AB" w:rsidRDefault="008969AB" w:rsidP="00201AB8">
            <w:pPr>
              <w:jc w:val="right"/>
              <w:rPr>
                <w:sz w:val="18"/>
                <w:szCs w:val="18"/>
              </w:rPr>
            </w:pPr>
            <w:r>
              <w:rPr>
                <w:sz w:val="18"/>
                <w:szCs w:val="18"/>
              </w:rPr>
              <w:t>70 843,2</w:t>
            </w:r>
          </w:p>
        </w:tc>
        <w:tc>
          <w:tcPr>
            <w:tcW w:w="1227" w:type="dxa"/>
            <w:tcBorders>
              <w:top w:val="nil"/>
              <w:left w:val="nil"/>
              <w:bottom w:val="nil"/>
              <w:right w:val="nil"/>
            </w:tcBorders>
            <w:shd w:val="clear" w:color="auto" w:fill="auto"/>
            <w:noWrap/>
            <w:vAlign w:val="bottom"/>
            <w:hideMark/>
          </w:tcPr>
          <w:p w14:paraId="7BA7CB59" w14:textId="77777777" w:rsidR="008969AB" w:rsidRDefault="008969AB" w:rsidP="00201AB8">
            <w:pPr>
              <w:jc w:val="right"/>
              <w:rPr>
                <w:sz w:val="18"/>
                <w:szCs w:val="18"/>
              </w:rPr>
            </w:pPr>
            <w:r>
              <w:rPr>
                <w:sz w:val="18"/>
                <w:szCs w:val="18"/>
              </w:rPr>
              <w:t>13 625,5</w:t>
            </w:r>
          </w:p>
        </w:tc>
        <w:tc>
          <w:tcPr>
            <w:tcW w:w="1222" w:type="dxa"/>
            <w:tcBorders>
              <w:top w:val="nil"/>
              <w:left w:val="nil"/>
              <w:bottom w:val="nil"/>
              <w:right w:val="nil"/>
            </w:tcBorders>
            <w:shd w:val="clear" w:color="auto" w:fill="auto"/>
            <w:noWrap/>
            <w:vAlign w:val="bottom"/>
            <w:hideMark/>
          </w:tcPr>
          <w:p w14:paraId="6F311143" w14:textId="77777777" w:rsidR="008969AB" w:rsidRDefault="008969AB" w:rsidP="00201AB8">
            <w:pPr>
              <w:jc w:val="right"/>
              <w:rPr>
                <w:color w:val="000000"/>
                <w:sz w:val="18"/>
                <w:szCs w:val="18"/>
              </w:rPr>
            </w:pPr>
            <w:r>
              <w:rPr>
                <w:color w:val="000000"/>
                <w:sz w:val="18"/>
                <w:szCs w:val="18"/>
              </w:rPr>
              <w:t>13 625,5</w:t>
            </w:r>
          </w:p>
        </w:tc>
        <w:tc>
          <w:tcPr>
            <w:tcW w:w="1199" w:type="dxa"/>
            <w:tcBorders>
              <w:top w:val="nil"/>
              <w:left w:val="nil"/>
              <w:bottom w:val="nil"/>
              <w:right w:val="nil"/>
            </w:tcBorders>
            <w:shd w:val="clear" w:color="auto" w:fill="auto"/>
            <w:noWrap/>
            <w:vAlign w:val="bottom"/>
            <w:hideMark/>
          </w:tcPr>
          <w:p w14:paraId="487021F6" w14:textId="77777777" w:rsidR="008969AB" w:rsidRDefault="008969AB" w:rsidP="00201AB8">
            <w:pPr>
              <w:jc w:val="right"/>
              <w:rPr>
                <w:color w:val="000000"/>
                <w:sz w:val="18"/>
                <w:szCs w:val="18"/>
              </w:rPr>
            </w:pPr>
          </w:p>
        </w:tc>
        <w:tc>
          <w:tcPr>
            <w:tcW w:w="1209" w:type="dxa"/>
            <w:tcBorders>
              <w:top w:val="nil"/>
              <w:left w:val="nil"/>
              <w:bottom w:val="nil"/>
              <w:right w:val="single" w:sz="4" w:space="0" w:color="auto"/>
            </w:tcBorders>
            <w:shd w:val="clear" w:color="auto" w:fill="auto"/>
            <w:noWrap/>
            <w:vAlign w:val="bottom"/>
            <w:hideMark/>
          </w:tcPr>
          <w:p w14:paraId="10D3C67E" w14:textId="77777777" w:rsidR="008969AB" w:rsidRDefault="008969AB" w:rsidP="00201AB8">
            <w:pPr>
              <w:jc w:val="right"/>
              <w:rPr>
                <w:sz w:val="18"/>
                <w:szCs w:val="18"/>
              </w:rPr>
            </w:pPr>
            <w:r>
              <w:rPr>
                <w:sz w:val="18"/>
                <w:szCs w:val="18"/>
              </w:rPr>
              <w:t>19,2%</w:t>
            </w:r>
          </w:p>
        </w:tc>
      </w:tr>
      <w:tr w:rsidR="008969AB" w:rsidRPr="00BB329E" w14:paraId="49C0AC5C" w14:textId="77777777" w:rsidTr="00201AB8">
        <w:trPr>
          <w:trHeight w:val="250"/>
        </w:trPr>
        <w:tc>
          <w:tcPr>
            <w:tcW w:w="4250" w:type="dxa"/>
            <w:tcBorders>
              <w:top w:val="nil"/>
              <w:left w:val="single" w:sz="8" w:space="0" w:color="auto"/>
              <w:bottom w:val="nil"/>
              <w:right w:val="single" w:sz="4" w:space="0" w:color="auto"/>
            </w:tcBorders>
            <w:shd w:val="clear" w:color="auto" w:fill="auto"/>
            <w:noWrap/>
            <w:vAlign w:val="bottom"/>
            <w:hideMark/>
          </w:tcPr>
          <w:p w14:paraId="6FC018CE" w14:textId="77777777" w:rsidR="008969AB" w:rsidRPr="00134765" w:rsidRDefault="008969AB" w:rsidP="00201AB8">
            <w:pPr>
              <w:rPr>
                <w:sz w:val="18"/>
                <w:szCs w:val="18"/>
              </w:rPr>
            </w:pPr>
            <w:r w:rsidRPr="00134765">
              <w:rPr>
                <w:sz w:val="18"/>
                <w:szCs w:val="18"/>
              </w:rPr>
              <w:t xml:space="preserve">  Неданъчни приходи</w:t>
            </w:r>
          </w:p>
        </w:tc>
        <w:tc>
          <w:tcPr>
            <w:tcW w:w="1147" w:type="dxa"/>
            <w:tcBorders>
              <w:top w:val="nil"/>
              <w:left w:val="single" w:sz="4" w:space="0" w:color="auto"/>
              <w:bottom w:val="nil"/>
              <w:right w:val="nil"/>
            </w:tcBorders>
            <w:shd w:val="clear" w:color="auto" w:fill="auto"/>
            <w:noWrap/>
            <w:vAlign w:val="bottom"/>
            <w:hideMark/>
          </w:tcPr>
          <w:p w14:paraId="37849A1C" w14:textId="77777777" w:rsidR="008969AB" w:rsidRDefault="008969AB" w:rsidP="00201AB8">
            <w:pPr>
              <w:jc w:val="right"/>
              <w:rPr>
                <w:sz w:val="18"/>
                <w:szCs w:val="18"/>
              </w:rPr>
            </w:pPr>
            <w:r>
              <w:rPr>
                <w:sz w:val="18"/>
                <w:szCs w:val="18"/>
              </w:rPr>
              <w:t>11 988,7</w:t>
            </w:r>
          </w:p>
        </w:tc>
        <w:tc>
          <w:tcPr>
            <w:tcW w:w="1227" w:type="dxa"/>
            <w:tcBorders>
              <w:top w:val="nil"/>
              <w:left w:val="nil"/>
              <w:bottom w:val="nil"/>
              <w:right w:val="nil"/>
            </w:tcBorders>
            <w:shd w:val="clear" w:color="auto" w:fill="auto"/>
            <w:noWrap/>
            <w:vAlign w:val="bottom"/>
            <w:hideMark/>
          </w:tcPr>
          <w:p w14:paraId="75190700" w14:textId="77777777" w:rsidR="008969AB" w:rsidRDefault="008969AB" w:rsidP="00201AB8">
            <w:pPr>
              <w:jc w:val="right"/>
              <w:rPr>
                <w:sz w:val="18"/>
                <w:szCs w:val="18"/>
              </w:rPr>
            </w:pPr>
            <w:r>
              <w:rPr>
                <w:sz w:val="18"/>
                <w:szCs w:val="18"/>
              </w:rPr>
              <w:t>2 458,9</w:t>
            </w:r>
          </w:p>
        </w:tc>
        <w:tc>
          <w:tcPr>
            <w:tcW w:w="1222" w:type="dxa"/>
            <w:tcBorders>
              <w:top w:val="nil"/>
              <w:left w:val="nil"/>
              <w:bottom w:val="nil"/>
              <w:right w:val="nil"/>
            </w:tcBorders>
            <w:shd w:val="clear" w:color="auto" w:fill="auto"/>
            <w:noWrap/>
            <w:vAlign w:val="bottom"/>
            <w:hideMark/>
          </w:tcPr>
          <w:p w14:paraId="5C2E7B3E" w14:textId="77777777" w:rsidR="008969AB" w:rsidRDefault="008969AB" w:rsidP="00201AB8">
            <w:pPr>
              <w:jc w:val="right"/>
              <w:rPr>
                <w:color w:val="000000"/>
                <w:sz w:val="18"/>
                <w:szCs w:val="18"/>
              </w:rPr>
            </w:pPr>
            <w:r>
              <w:rPr>
                <w:color w:val="000000"/>
                <w:sz w:val="18"/>
                <w:szCs w:val="18"/>
              </w:rPr>
              <w:t>2 459,8</w:t>
            </w:r>
          </w:p>
        </w:tc>
        <w:tc>
          <w:tcPr>
            <w:tcW w:w="1199" w:type="dxa"/>
            <w:tcBorders>
              <w:top w:val="nil"/>
              <w:left w:val="nil"/>
              <w:bottom w:val="nil"/>
              <w:right w:val="nil"/>
            </w:tcBorders>
            <w:shd w:val="clear" w:color="auto" w:fill="auto"/>
            <w:noWrap/>
            <w:vAlign w:val="bottom"/>
            <w:hideMark/>
          </w:tcPr>
          <w:p w14:paraId="7E3AD741" w14:textId="77777777" w:rsidR="008969AB" w:rsidRDefault="008969AB" w:rsidP="00201AB8">
            <w:pPr>
              <w:jc w:val="right"/>
              <w:rPr>
                <w:color w:val="000000"/>
                <w:sz w:val="18"/>
                <w:szCs w:val="18"/>
              </w:rPr>
            </w:pPr>
            <w:r>
              <w:rPr>
                <w:color w:val="000000"/>
                <w:sz w:val="18"/>
                <w:szCs w:val="18"/>
              </w:rPr>
              <w:t>-0,9</w:t>
            </w:r>
          </w:p>
        </w:tc>
        <w:tc>
          <w:tcPr>
            <w:tcW w:w="1209" w:type="dxa"/>
            <w:tcBorders>
              <w:top w:val="nil"/>
              <w:left w:val="nil"/>
              <w:bottom w:val="nil"/>
              <w:right w:val="single" w:sz="4" w:space="0" w:color="auto"/>
            </w:tcBorders>
            <w:shd w:val="clear" w:color="auto" w:fill="auto"/>
            <w:noWrap/>
            <w:vAlign w:val="bottom"/>
            <w:hideMark/>
          </w:tcPr>
          <w:p w14:paraId="3260E1BC" w14:textId="77777777" w:rsidR="008969AB" w:rsidRDefault="008969AB" w:rsidP="00201AB8">
            <w:pPr>
              <w:jc w:val="right"/>
              <w:rPr>
                <w:sz w:val="18"/>
                <w:szCs w:val="18"/>
              </w:rPr>
            </w:pPr>
            <w:r>
              <w:rPr>
                <w:sz w:val="18"/>
                <w:szCs w:val="18"/>
              </w:rPr>
              <w:t>20,5%</w:t>
            </w:r>
          </w:p>
        </w:tc>
      </w:tr>
      <w:tr w:rsidR="008969AB" w:rsidRPr="00BB329E" w14:paraId="737B7B05" w14:textId="77777777" w:rsidTr="00201AB8">
        <w:trPr>
          <w:trHeight w:val="250"/>
        </w:trPr>
        <w:tc>
          <w:tcPr>
            <w:tcW w:w="4250" w:type="dxa"/>
            <w:tcBorders>
              <w:top w:val="nil"/>
              <w:left w:val="single" w:sz="8" w:space="0" w:color="auto"/>
              <w:bottom w:val="single" w:sz="4" w:space="0" w:color="auto"/>
              <w:right w:val="single" w:sz="4" w:space="0" w:color="auto"/>
            </w:tcBorders>
            <w:shd w:val="clear" w:color="auto" w:fill="auto"/>
            <w:noWrap/>
            <w:vAlign w:val="bottom"/>
            <w:hideMark/>
          </w:tcPr>
          <w:p w14:paraId="7FA10EB3" w14:textId="77777777" w:rsidR="008969AB" w:rsidRPr="00134765" w:rsidRDefault="008969AB" w:rsidP="00201AB8">
            <w:pPr>
              <w:rPr>
                <w:sz w:val="18"/>
                <w:szCs w:val="18"/>
              </w:rPr>
            </w:pPr>
            <w:r w:rsidRPr="00134765">
              <w:rPr>
                <w:sz w:val="18"/>
                <w:szCs w:val="18"/>
              </w:rPr>
              <w:t xml:space="preserve">  Помощи и дарения</w:t>
            </w:r>
          </w:p>
        </w:tc>
        <w:tc>
          <w:tcPr>
            <w:tcW w:w="1147" w:type="dxa"/>
            <w:tcBorders>
              <w:top w:val="nil"/>
              <w:left w:val="single" w:sz="4" w:space="0" w:color="auto"/>
              <w:bottom w:val="single" w:sz="4" w:space="0" w:color="auto"/>
              <w:right w:val="nil"/>
            </w:tcBorders>
            <w:shd w:val="clear" w:color="auto" w:fill="auto"/>
            <w:noWrap/>
            <w:vAlign w:val="bottom"/>
            <w:hideMark/>
          </w:tcPr>
          <w:p w14:paraId="60BDDB97" w14:textId="77777777" w:rsidR="008969AB" w:rsidRDefault="008969AB" w:rsidP="00201AB8">
            <w:pPr>
              <w:jc w:val="right"/>
              <w:rPr>
                <w:sz w:val="18"/>
                <w:szCs w:val="18"/>
              </w:rPr>
            </w:pPr>
            <w:r>
              <w:rPr>
                <w:sz w:val="18"/>
                <w:szCs w:val="18"/>
              </w:rPr>
              <w:t>7 438,9</w:t>
            </w:r>
          </w:p>
        </w:tc>
        <w:tc>
          <w:tcPr>
            <w:tcW w:w="1227" w:type="dxa"/>
            <w:tcBorders>
              <w:top w:val="nil"/>
              <w:left w:val="nil"/>
              <w:bottom w:val="single" w:sz="4" w:space="0" w:color="auto"/>
              <w:right w:val="nil"/>
            </w:tcBorders>
            <w:shd w:val="clear" w:color="auto" w:fill="auto"/>
            <w:noWrap/>
            <w:vAlign w:val="bottom"/>
            <w:hideMark/>
          </w:tcPr>
          <w:p w14:paraId="6E9E25B7" w14:textId="77777777" w:rsidR="008969AB" w:rsidRDefault="008969AB" w:rsidP="00201AB8">
            <w:pPr>
              <w:jc w:val="right"/>
              <w:rPr>
                <w:sz w:val="18"/>
                <w:szCs w:val="18"/>
              </w:rPr>
            </w:pPr>
            <w:r>
              <w:rPr>
                <w:sz w:val="18"/>
                <w:szCs w:val="18"/>
              </w:rPr>
              <w:t>749,9</w:t>
            </w:r>
          </w:p>
        </w:tc>
        <w:tc>
          <w:tcPr>
            <w:tcW w:w="1222" w:type="dxa"/>
            <w:tcBorders>
              <w:top w:val="nil"/>
              <w:left w:val="nil"/>
              <w:bottom w:val="single" w:sz="4" w:space="0" w:color="auto"/>
              <w:right w:val="nil"/>
            </w:tcBorders>
            <w:shd w:val="clear" w:color="auto" w:fill="auto"/>
            <w:noWrap/>
            <w:vAlign w:val="bottom"/>
            <w:hideMark/>
          </w:tcPr>
          <w:p w14:paraId="4419D2F8" w14:textId="77777777" w:rsidR="008969AB" w:rsidRDefault="008969AB" w:rsidP="00201AB8">
            <w:pPr>
              <w:jc w:val="right"/>
              <w:rPr>
                <w:color w:val="000000"/>
                <w:sz w:val="18"/>
                <w:szCs w:val="18"/>
              </w:rPr>
            </w:pPr>
            <w:r>
              <w:rPr>
                <w:color w:val="000000"/>
                <w:sz w:val="18"/>
                <w:szCs w:val="18"/>
              </w:rPr>
              <w:t>363,9</w:t>
            </w:r>
          </w:p>
        </w:tc>
        <w:tc>
          <w:tcPr>
            <w:tcW w:w="1199" w:type="dxa"/>
            <w:tcBorders>
              <w:top w:val="nil"/>
              <w:left w:val="nil"/>
              <w:bottom w:val="single" w:sz="4" w:space="0" w:color="auto"/>
              <w:right w:val="nil"/>
            </w:tcBorders>
            <w:shd w:val="clear" w:color="auto" w:fill="auto"/>
            <w:noWrap/>
            <w:vAlign w:val="bottom"/>
            <w:hideMark/>
          </w:tcPr>
          <w:p w14:paraId="2DBF46BE" w14:textId="77777777" w:rsidR="008969AB" w:rsidRDefault="008969AB" w:rsidP="00201AB8">
            <w:pPr>
              <w:jc w:val="right"/>
              <w:rPr>
                <w:color w:val="000000"/>
                <w:sz w:val="18"/>
                <w:szCs w:val="18"/>
              </w:rPr>
            </w:pPr>
            <w:r>
              <w:rPr>
                <w:color w:val="000000"/>
                <w:sz w:val="18"/>
                <w:szCs w:val="18"/>
              </w:rPr>
              <w:t>386,0</w:t>
            </w:r>
          </w:p>
        </w:tc>
        <w:tc>
          <w:tcPr>
            <w:tcW w:w="1209" w:type="dxa"/>
            <w:tcBorders>
              <w:top w:val="nil"/>
              <w:left w:val="nil"/>
              <w:bottom w:val="single" w:sz="4" w:space="0" w:color="auto"/>
              <w:right w:val="single" w:sz="4" w:space="0" w:color="auto"/>
            </w:tcBorders>
            <w:shd w:val="clear" w:color="auto" w:fill="auto"/>
            <w:noWrap/>
            <w:vAlign w:val="bottom"/>
            <w:hideMark/>
          </w:tcPr>
          <w:p w14:paraId="1E09A7EA" w14:textId="77777777" w:rsidR="008969AB" w:rsidRDefault="008969AB" w:rsidP="00201AB8">
            <w:pPr>
              <w:jc w:val="right"/>
              <w:rPr>
                <w:sz w:val="18"/>
                <w:szCs w:val="18"/>
              </w:rPr>
            </w:pPr>
            <w:r>
              <w:rPr>
                <w:sz w:val="18"/>
                <w:szCs w:val="18"/>
              </w:rPr>
              <w:t>10,1%</w:t>
            </w:r>
          </w:p>
        </w:tc>
      </w:tr>
      <w:tr w:rsidR="008969AB" w:rsidRPr="00BB329E" w14:paraId="2BE59CBD" w14:textId="77777777" w:rsidTr="00201AB8">
        <w:trPr>
          <w:trHeight w:val="472"/>
        </w:trPr>
        <w:tc>
          <w:tcPr>
            <w:tcW w:w="4250" w:type="dxa"/>
            <w:tcBorders>
              <w:top w:val="single" w:sz="4" w:space="0" w:color="auto"/>
              <w:left w:val="single" w:sz="8" w:space="0" w:color="auto"/>
              <w:bottom w:val="nil"/>
              <w:right w:val="single" w:sz="4" w:space="0" w:color="auto"/>
            </w:tcBorders>
            <w:shd w:val="clear" w:color="auto" w:fill="auto"/>
            <w:vAlign w:val="bottom"/>
            <w:hideMark/>
          </w:tcPr>
          <w:p w14:paraId="632B65CD" w14:textId="77777777" w:rsidR="008969AB" w:rsidRPr="00134765" w:rsidRDefault="008969AB" w:rsidP="00201AB8">
            <w:pPr>
              <w:rPr>
                <w:b/>
                <w:bCs/>
                <w:sz w:val="18"/>
                <w:szCs w:val="18"/>
              </w:rPr>
            </w:pPr>
            <w:r w:rsidRPr="00134765">
              <w:rPr>
                <w:b/>
                <w:bCs/>
                <w:sz w:val="18"/>
                <w:szCs w:val="18"/>
              </w:rPr>
              <w:t>РАЗХОДИ И ВНОСКА ЗА ОБЩИЯ БЮДЖЕТ НА ЕС</w:t>
            </w:r>
          </w:p>
        </w:tc>
        <w:tc>
          <w:tcPr>
            <w:tcW w:w="1147" w:type="dxa"/>
            <w:tcBorders>
              <w:top w:val="single" w:sz="4" w:space="0" w:color="auto"/>
              <w:left w:val="single" w:sz="4" w:space="0" w:color="auto"/>
              <w:bottom w:val="nil"/>
              <w:right w:val="nil"/>
            </w:tcBorders>
            <w:shd w:val="clear" w:color="auto" w:fill="auto"/>
            <w:noWrap/>
            <w:vAlign w:val="bottom"/>
            <w:hideMark/>
          </w:tcPr>
          <w:p w14:paraId="12ED5466" w14:textId="77777777" w:rsidR="008969AB" w:rsidRDefault="008969AB" w:rsidP="00201AB8">
            <w:pPr>
              <w:jc w:val="right"/>
              <w:rPr>
                <w:b/>
                <w:bCs/>
                <w:sz w:val="18"/>
                <w:szCs w:val="18"/>
              </w:rPr>
            </w:pPr>
            <w:r>
              <w:rPr>
                <w:b/>
                <w:bCs/>
                <w:sz w:val="18"/>
                <w:szCs w:val="18"/>
              </w:rPr>
              <w:t>96 706,0</w:t>
            </w:r>
          </w:p>
        </w:tc>
        <w:tc>
          <w:tcPr>
            <w:tcW w:w="1227" w:type="dxa"/>
            <w:tcBorders>
              <w:top w:val="nil"/>
              <w:left w:val="nil"/>
              <w:bottom w:val="nil"/>
              <w:right w:val="nil"/>
            </w:tcBorders>
            <w:shd w:val="clear" w:color="auto" w:fill="auto"/>
            <w:noWrap/>
            <w:vAlign w:val="bottom"/>
            <w:hideMark/>
          </w:tcPr>
          <w:p w14:paraId="35CB8840" w14:textId="77777777" w:rsidR="008969AB" w:rsidRDefault="008969AB" w:rsidP="00201AB8">
            <w:pPr>
              <w:jc w:val="right"/>
              <w:rPr>
                <w:b/>
                <w:bCs/>
                <w:sz w:val="18"/>
                <w:szCs w:val="18"/>
              </w:rPr>
            </w:pPr>
            <w:r>
              <w:rPr>
                <w:b/>
                <w:bCs/>
                <w:sz w:val="18"/>
                <w:szCs w:val="18"/>
              </w:rPr>
              <w:t>18 761,0</w:t>
            </w:r>
          </w:p>
        </w:tc>
        <w:tc>
          <w:tcPr>
            <w:tcW w:w="1222" w:type="dxa"/>
            <w:tcBorders>
              <w:top w:val="nil"/>
              <w:left w:val="nil"/>
              <w:bottom w:val="nil"/>
              <w:right w:val="nil"/>
            </w:tcBorders>
            <w:shd w:val="clear" w:color="auto" w:fill="auto"/>
            <w:noWrap/>
            <w:vAlign w:val="bottom"/>
            <w:hideMark/>
          </w:tcPr>
          <w:p w14:paraId="5C36C5C2" w14:textId="77777777" w:rsidR="008969AB" w:rsidRDefault="008969AB" w:rsidP="00201AB8">
            <w:pPr>
              <w:jc w:val="right"/>
              <w:rPr>
                <w:b/>
                <w:bCs/>
                <w:sz w:val="18"/>
                <w:szCs w:val="18"/>
              </w:rPr>
            </w:pPr>
            <w:r>
              <w:rPr>
                <w:b/>
                <w:bCs/>
                <w:sz w:val="18"/>
                <w:szCs w:val="18"/>
              </w:rPr>
              <w:t>17 781,7</w:t>
            </w:r>
          </w:p>
        </w:tc>
        <w:tc>
          <w:tcPr>
            <w:tcW w:w="1199" w:type="dxa"/>
            <w:tcBorders>
              <w:top w:val="nil"/>
              <w:left w:val="nil"/>
              <w:bottom w:val="nil"/>
              <w:right w:val="nil"/>
            </w:tcBorders>
            <w:shd w:val="clear" w:color="auto" w:fill="auto"/>
            <w:noWrap/>
            <w:vAlign w:val="bottom"/>
            <w:hideMark/>
          </w:tcPr>
          <w:p w14:paraId="3C4D7A65" w14:textId="77777777" w:rsidR="008969AB" w:rsidRDefault="008969AB" w:rsidP="00201AB8">
            <w:pPr>
              <w:jc w:val="right"/>
              <w:rPr>
                <w:b/>
                <w:bCs/>
                <w:sz w:val="18"/>
                <w:szCs w:val="18"/>
              </w:rPr>
            </w:pPr>
            <w:r>
              <w:rPr>
                <w:b/>
                <w:bCs/>
                <w:sz w:val="18"/>
                <w:szCs w:val="18"/>
              </w:rPr>
              <w:t>979,3</w:t>
            </w:r>
          </w:p>
        </w:tc>
        <w:tc>
          <w:tcPr>
            <w:tcW w:w="1209" w:type="dxa"/>
            <w:tcBorders>
              <w:top w:val="nil"/>
              <w:left w:val="nil"/>
              <w:bottom w:val="nil"/>
              <w:right w:val="single" w:sz="4" w:space="0" w:color="auto"/>
            </w:tcBorders>
            <w:shd w:val="clear" w:color="auto" w:fill="auto"/>
            <w:noWrap/>
            <w:vAlign w:val="bottom"/>
            <w:hideMark/>
          </w:tcPr>
          <w:p w14:paraId="035D4325" w14:textId="77777777" w:rsidR="008969AB" w:rsidRDefault="008969AB" w:rsidP="00201AB8">
            <w:pPr>
              <w:jc w:val="right"/>
              <w:rPr>
                <w:b/>
                <w:bCs/>
                <w:sz w:val="18"/>
                <w:szCs w:val="18"/>
              </w:rPr>
            </w:pPr>
            <w:r>
              <w:rPr>
                <w:b/>
                <w:bCs/>
                <w:sz w:val="18"/>
                <w:szCs w:val="18"/>
              </w:rPr>
              <w:t>19,4%</w:t>
            </w:r>
          </w:p>
        </w:tc>
      </w:tr>
      <w:tr w:rsidR="008969AB" w:rsidRPr="00BB329E" w14:paraId="176D86A2" w14:textId="77777777" w:rsidTr="00201AB8">
        <w:trPr>
          <w:trHeight w:val="250"/>
        </w:trPr>
        <w:tc>
          <w:tcPr>
            <w:tcW w:w="4250" w:type="dxa"/>
            <w:tcBorders>
              <w:top w:val="nil"/>
              <w:left w:val="single" w:sz="8" w:space="0" w:color="auto"/>
              <w:bottom w:val="nil"/>
              <w:right w:val="single" w:sz="4" w:space="0" w:color="auto"/>
            </w:tcBorders>
            <w:shd w:val="clear" w:color="auto" w:fill="auto"/>
            <w:noWrap/>
            <w:vAlign w:val="bottom"/>
            <w:hideMark/>
          </w:tcPr>
          <w:p w14:paraId="22BABE47" w14:textId="77777777" w:rsidR="008969AB" w:rsidRPr="00134765" w:rsidRDefault="008969AB" w:rsidP="00201AB8">
            <w:pPr>
              <w:rPr>
                <w:sz w:val="18"/>
                <w:szCs w:val="18"/>
              </w:rPr>
            </w:pPr>
            <w:r w:rsidRPr="00134765">
              <w:rPr>
                <w:sz w:val="18"/>
                <w:szCs w:val="18"/>
              </w:rPr>
              <w:t xml:space="preserve">  Нелихвени</w:t>
            </w:r>
          </w:p>
        </w:tc>
        <w:tc>
          <w:tcPr>
            <w:tcW w:w="1147" w:type="dxa"/>
            <w:tcBorders>
              <w:top w:val="nil"/>
              <w:left w:val="single" w:sz="4" w:space="0" w:color="auto"/>
              <w:bottom w:val="nil"/>
              <w:right w:val="nil"/>
            </w:tcBorders>
            <w:shd w:val="clear" w:color="auto" w:fill="auto"/>
            <w:noWrap/>
            <w:vAlign w:val="bottom"/>
            <w:hideMark/>
          </w:tcPr>
          <w:p w14:paraId="7122656F" w14:textId="77777777" w:rsidR="008969AB" w:rsidRDefault="008969AB" w:rsidP="00201AB8">
            <w:pPr>
              <w:jc w:val="right"/>
              <w:rPr>
                <w:sz w:val="18"/>
                <w:szCs w:val="18"/>
              </w:rPr>
            </w:pPr>
            <w:r>
              <w:rPr>
                <w:sz w:val="18"/>
                <w:szCs w:val="18"/>
              </w:rPr>
              <w:t>92 653,1</w:t>
            </w:r>
          </w:p>
        </w:tc>
        <w:tc>
          <w:tcPr>
            <w:tcW w:w="1227" w:type="dxa"/>
            <w:tcBorders>
              <w:top w:val="nil"/>
              <w:left w:val="nil"/>
              <w:bottom w:val="nil"/>
              <w:right w:val="nil"/>
            </w:tcBorders>
            <w:shd w:val="clear" w:color="auto" w:fill="auto"/>
            <w:noWrap/>
            <w:vAlign w:val="bottom"/>
            <w:hideMark/>
          </w:tcPr>
          <w:p w14:paraId="4F9A43A4" w14:textId="77777777" w:rsidR="008969AB" w:rsidRDefault="008969AB" w:rsidP="00201AB8">
            <w:pPr>
              <w:jc w:val="right"/>
              <w:rPr>
                <w:sz w:val="18"/>
                <w:szCs w:val="18"/>
              </w:rPr>
            </w:pPr>
            <w:r>
              <w:rPr>
                <w:sz w:val="18"/>
                <w:szCs w:val="18"/>
              </w:rPr>
              <w:t>17 841,7</w:t>
            </w:r>
          </w:p>
        </w:tc>
        <w:tc>
          <w:tcPr>
            <w:tcW w:w="1222" w:type="dxa"/>
            <w:tcBorders>
              <w:top w:val="nil"/>
              <w:left w:val="nil"/>
              <w:bottom w:val="nil"/>
              <w:right w:val="nil"/>
            </w:tcBorders>
            <w:shd w:val="clear" w:color="auto" w:fill="auto"/>
            <w:noWrap/>
            <w:vAlign w:val="bottom"/>
            <w:hideMark/>
          </w:tcPr>
          <w:p w14:paraId="6C21CF34" w14:textId="77777777" w:rsidR="008969AB" w:rsidRDefault="008969AB" w:rsidP="00201AB8">
            <w:pPr>
              <w:jc w:val="right"/>
              <w:rPr>
                <w:sz w:val="18"/>
                <w:szCs w:val="18"/>
              </w:rPr>
            </w:pPr>
            <w:r>
              <w:rPr>
                <w:sz w:val="18"/>
                <w:szCs w:val="18"/>
              </w:rPr>
              <w:t>16 862,4</w:t>
            </w:r>
          </w:p>
        </w:tc>
        <w:tc>
          <w:tcPr>
            <w:tcW w:w="1199" w:type="dxa"/>
            <w:tcBorders>
              <w:top w:val="nil"/>
              <w:left w:val="nil"/>
              <w:bottom w:val="nil"/>
              <w:right w:val="nil"/>
            </w:tcBorders>
            <w:shd w:val="clear" w:color="auto" w:fill="auto"/>
            <w:noWrap/>
            <w:vAlign w:val="bottom"/>
            <w:hideMark/>
          </w:tcPr>
          <w:p w14:paraId="6816FBEB" w14:textId="77777777" w:rsidR="008969AB" w:rsidRDefault="008969AB" w:rsidP="00201AB8">
            <w:pPr>
              <w:jc w:val="right"/>
              <w:rPr>
                <w:sz w:val="18"/>
                <w:szCs w:val="18"/>
              </w:rPr>
            </w:pPr>
            <w:r>
              <w:rPr>
                <w:sz w:val="18"/>
                <w:szCs w:val="18"/>
              </w:rPr>
              <w:t>979,3</w:t>
            </w:r>
          </w:p>
        </w:tc>
        <w:tc>
          <w:tcPr>
            <w:tcW w:w="1209" w:type="dxa"/>
            <w:tcBorders>
              <w:top w:val="nil"/>
              <w:left w:val="nil"/>
              <w:bottom w:val="nil"/>
              <w:right w:val="single" w:sz="4" w:space="0" w:color="auto"/>
            </w:tcBorders>
            <w:shd w:val="clear" w:color="auto" w:fill="auto"/>
            <w:noWrap/>
            <w:vAlign w:val="bottom"/>
            <w:hideMark/>
          </w:tcPr>
          <w:p w14:paraId="54CB544A" w14:textId="77777777" w:rsidR="008969AB" w:rsidRDefault="008969AB" w:rsidP="00201AB8">
            <w:pPr>
              <w:jc w:val="right"/>
              <w:rPr>
                <w:sz w:val="18"/>
                <w:szCs w:val="18"/>
              </w:rPr>
            </w:pPr>
            <w:r>
              <w:rPr>
                <w:sz w:val="18"/>
                <w:szCs w:val="18"/>
              </w:rPr>
              <w:t>19,3%</w:t>
            </w:r>
          </w:p>
        </w:tc>
      </w:tr>
      <w:tr w:rsidR="008969AB" w:rsidRPr="00BB329E" w14:paraId="1E124835" w14:textId="77777777" w:rsidTr="00201AB8">
        <w:trPr>
          <w:trHeight w:val="250"/>
        </w:trPr>
        <w:tc>
          <w:tcPr>
            <w:tcW w:w="4250" w:type="dxa"/>
            <w:tcBorders>
              <w:top w:val="nil"/>
              <w:left w:val="single" w:sz="8" w:space="0" w:color="auto"/>
              <w:bottom w:val="nil"/>
              <w:right w:val="single" w:sz="4" w:space="0" w:color="auto"/>
            </w:tcBorders>
            <w:shd w:val="clear" w:color="auto" w:fill="auto"/>
            <w:noWrap/>
            <w:vAlign w:val="bottom"/>
            <w:hideMark/>
          </w:tcPr>
          <w:p w14:paraId="5FD2AFF8" w14:textId="77777777" w:rsidR="008969AB" w:rsidRPr="00134765" w:rsidRDefault="008969AB" w:rsidP="00201AB8">
            <w:pPr>
              <w:rPr>
                <w:sz w:val="18"/>
                <w:szCs w:val="18"/>
              </w:rPr>
            </w:pPr>
            <w:r w:rsidRPr="00134765">
              <w:rPr>
                <w:sz w:val="18"/>
                <w:szCs w:val="18"/>
              </w:rPr>
              <w:t xml:space="preserve">    Текущи</w:t>
            </w:r>
          </w:p>
        </w:tc>
        <w:tc>
          <w:tcPr>
            <w:tcW w:w="1147" w:type="dxa"/>
            <w:tcBorders>
              <w:top w:val="nil"/>
              <w:left w:val="single" w:sz="4" w:space="0" w:color="auto"/>
              <w:bottom w:val="nil"/>
              <w:right w:val="nil"/>
            </w:tcBorders>
            <w:shd w:val="clear" w:color="auto" w:fill="auto"/>
            <w:noWrap/>
            <w:vAlign w:val="bottom"/>
            <w:hideMark/>
          </w:tcPr>
          <w:p w14:paraId="30B5A2FF" w14:textId="77777777" w:rsidR="008969AB" w:rsidRDefault="008969AB" w:rsidP="00201AB8">
            <w:pPr>
              <w:jc w:val="right"/>
              <w:rPr>
                <w:sz w:val="18"/>
                <w:szCs w:val="18"/>
              </w:rPr>
            </w:pPr>
            <w:r>
              <w:rPr>
                <w:sz w:val="18"/>
                <w:szCs w:val="18"/>
              </w:rPr>
              <w:t>79 151,2</w:t>
            </w:r>
          </w:p>
        </w:tc>
        <w:tc>
          <w:tcPr>
            <w:tcW w:w="1227" w:type="dxa"/>
            <w:tcBorders>
              <w:top w:val="nil"/>
              <w:left w:val="nil"/>
              <w:bottom w:val="nil"/>
              <w:right w:val="nil"/>
            </w:tcBorders>
            <w:shd w:val="clear" w:color="auto" w:fill="auto"/>
            <w:noWrap/>
            <w:vAlign w:val="bottom"/>
            <w:hideMark/>
          </w:tcPr>
          <w:p w14:paraId="433AEBAD" w14:textId="77777777" w:rsidR="008969AB" w:rsidRDefault="008969AB" w:rsidP="00201AB8">
            <w:pPr>
              <w:jc w:val="right"/>
              <w:rPr>
                <w:sz w:val="18"/>
                <w:szCs w:val="18"/>
              </w:rPr>
            </w:pPr>
            <w:r>
              <w:rPr>
                <w:sz w:val="18"/>
                <w:szCs w:val="18"/>
              </w:rPr>
              <w:t>16 807,4</w:t>
            </w:r>
          </w:p>
        </w:tc>
        <w:tc>
          <w:tcPr>
            <w:tcW w:w="1222" w:type="dxa"/>
            <w:tcBorders>
              <w:top w:val="nil"/>
              <w:left w:val="nil"/>
              <w:bottom w:val="nil"/>
              <w:right w:val="nil"/>
            </w:tcBorders>
            <w:shd w:val="clear" w:color="auto" w:fill="auto"/>
            <w:noWrap/>
            <w:vAlign w:val="bottom"/>
            <w:hideMark/>
          </w:tcPr>
          <w:p w14:paraId="467019EC" w14:textId="77777777" w:rsidR="008969AB" w:rsidRDefault="008969AB" w:rsidP="00201AB8">
            <w:pPr>
              <w:jc w:val="right"/>
              <w:rPr>
                <w:sz w:val="18"/>
                <w:szCs w:val="18"/>
              </w:rPr>
            </w:pPr>
            <w:r>
              <w:rPr>
                <w:sz w:val="18"/>
                <w:szCs w:val="18"/>
              </w:rPr>
              <w:t>16 412,0</w:t>
            </w:r>
          </w:p>
        </w:tc>
        <w:tc>
          <w:tcPr>
            <w:tcW w:w="1199" w:type="dxa"/>
            <w:tcBorders>
              <w:top w:val="nil"/>
              <w:left w:val="nil"/>
              <w:bottom w:val="nil"/>
              <w:right w:val="nil"/>
            </w:tcBorders>
            <w:shd w:val="clear" w:color="auto" w:fill="auto"/>
            <w:noWrap/>
            <w:vAlign w:val="bottom"/>
            <w:hideMark/>
          </w:tcPr>
          <w:p w14:paraId="559F56EA" w14:textId="77777777" w:rsidR="008969AB" w:rsidRDefault="008969AB" w:rsidP="00201AB8">
            <w:pPr>
              <w:jc w:val="right"/>
              <w:rPr>
                <w:sz w:val="18"/>
                <w:szCs w:val="18"/>
              </w:rPr>
            </w:pPr>
            <w:r>
              <w:rPr>
                <w:sz w:val="18"/>
                <w:szCs w:val="18"/>
              </w:rPr>
              <w:t>395,4</w:t>
            </w:r>
          </w:p>
        </w:tc>
        <w:tc>
          <w:tcPr>
            <w:tcW w:w="1209" w:type="dxa"/>
            <w:tcBorders>
              <w:top w:val="nil"/>
              <w:left w:val="nil"/>
              <w:bottom w:val="nil"/>
              <w:right w:val="single" w:sz="4" w:space="0" w:color="auto"/>
            </w:tcBorders>
            <w:shd w:val="clear" w:color="auto" w:fill="auto"/>
            <w:noWrap/>
            <w:vAlign w:val="bottom"/>
            <w:hideMark/>
          </w:tcPr>
          <w:p w14:paraId="5CD6233A" w14:textId="77777777" w:rsidR="008969AB" w:rsidRDefault="008969AB" w:rsidP="00201AB8">
            <w:pPr>
              <w:jc w:val="right"/>
              <w:rPr>
                <w:sz w:val="18"/>
                <w:szCs w:val="18"/>
              </w:rPr>
            </w:pPr>
            <w:r>
              <w:rPr>
                <w:sz w:val="18"/>
                <w:szCs w:val="18"/>
              </w:rPr>
              <w:t>21,2%</w:t>
            </w:r>
          </w:p>
        </w:tc>
      </w:tr>
      <w:tr w:rsidR="008969AB" w:rsidRPr="00BB329E" w14:paraId="5A6B3A0F" w14:textId="77777777" w:rsidTr="00201AB8">
        <w:trPr>
          <w:trHeight w:val="250"/>
        </w:trPr>
        <w:tc>
          <w:tcPr>
            <w:tcW w:w="4250" w:type="dxa"/>
            <w:tcBorders>
              <w:top w:val="nil"/>
              <w:left w:val="single" w:sz="8" w:space="0" w:color="auto"/>
              <w:bottom w:val="nil"/>
              <w:right w:val="single" w:sz="4" w:space="0" w:color="auto"/>
            </w:tcBorders>
            <w:shd w:val="clear" w:color="auto" w:fill="auto"/>
            <w:noWrap/>
            <w:vAlign w:val="bottom"/>
          </w:tcPr>
          <w:p w14:paraId="3E68CE74" w14:textId="77777777" w:rsidR="008969AB" w:rsidRPr="00134765" w:rsidRDefault="008969AB" w:rsidP="00201AB8">
            <w:pPr>
              <w:rPr>
                <w:sz w:val="18"/>
                <w:szCs w:val="18"/>
              </w:rPr>
            </w:pPr>
            <w:r w:rsidRPr="00134765">
              <w:rPr>
                <w:sz w:val="18"/>
                <w:szCs w:val="18"/>
              </w:rPr>
              <w:t xml:space="preserve">    Предоставени </w:t>
            </w:r>
            <w:proofErr w:type="spellStart"/>
            <w:r w:rsidRPr="00134765">
              <w:rPr>
                <w:sz w:val="18"/>
                <w:szCs w:val="18"/>
              </w:rPr>
              <w:t>тек</w:t>
            </w:r>
            <w:proofErr w:type="spellEnd"/>
            <w:r w:rsidRPr="00134765">
              <w:rPr>
                <w:sz w:val="18"/>
                <w:szCs w:val="18"/>
              </w:rPr>
              <w:t xml:space="preserve">. и </w:t>
            </w:r>
            <w:proofErr w:type="spellStart"/>
            <w:r w:rsidRPr="00134765">
              <w:rPr>
                <w:sz w:val="18"/>
                <w:szCs w:val="18"/>
              </w:rPr>
              <w:t>капит</w:t>
            </w:r>
            <w:proofErr w:type="spellEnd"/>
            <w:r w:rsidRPr="00134765">
              <w:rPr>
                <w:sz w:val="18"/>
                <w:szCs w:val="18"/>
              </w:rPr>
              <w:t>. трансфери за чужбина</w:t>
            </w:r>
          </w:p>
        </w:tc>
        <w:tc>
          <w:tcPr>
            <w:tcW w:w="1147" w:type="dxa"/>
            <w:tcBorders>
              <w:top w:val="nil"/>
              <w:left w:val="nil"/>
              <w:bottom w:val="nil"/>
              <w:right w:val="nil"/>
            </w:tcBorders>
            <w:shd w:val="clear" w:color="auto" w:fill="auto"/>
            <w:noWrap/>
            <w:vAlign w:val="bottom"/>
          </w:tcPr>
          <w:p w14:paraId="55C510A1" w14:textId="77777777" w:rsidR="008969AB" w:rsidRDefault="008969AB" w:rsidP="00201AB8">
            <w:pPr>
              <w:jc w:val="right"/>
              <w:rPr>
                <w:sz w:val="18"/>
                <w:szCs w:val="18"/>
              </w:rPr>
            </w:pPr>
            <w:r>
              <w:rPr>
                <w:sz w:val="18"/>
                <w:szCs w:val="18"/>
              </w:rPr>
              <w:t>27,7</w:t>
            </w:r>
          </w:p>
        </w:tc>
        <w:tc>
          <w:tcPr>
            <w:tcW w:w="1227" w:type="dxa"/>
            <w:tcBorders>
              <w:top w:val="nil"/>
              <w:left w:val="nil"/>
              <w:bottom w:val="nil"/>
              <w:right w:val="nil"/>
            </w:tcBorders>
            <w:shd w:val="clear" w:color="auto" w:fill="auto"/>
            <w:noWrap/>
            <w:vAlign w:val="bottom"/>
          </w:tcPr>
          <w:p w14:paraId="041BDE30" w14:textId="77777777" w:rsidR="008969AB" w:rsidRDefault="008969AB" w:rsidP="00201AB8">
            <w:pPr>
              <w:jc w:val="right"/>
              <w:rPr>
                <w:sz w:val="18"/>
                <w:szCs w:val="18"/>
              </w:rPr>
            </w:pPr>
            <w:r>
              <w:rPr>
                <w:sz w:val="18"/>
                <w:szCs w:val="18"/>
              </w:rPr>
              <w:t>16,5</w:t>
            </w:r>
          </w:p>
        </w:tc>
        <w:tc>
          <w:tcPr>
            <w:tcW w:w="1222" w:type="dxa"/>
            <w:tcBorders>
              <w:top w:val="nil"/>
              <w:left w:val="nil"/>
              <w:bottom w:val="nil"/>
              <w:right w:val="nil"/>
            </w:tcBorders>
            <w:shd w:val="clear" w:color="auto" w:fill="auto"/>
            <w:noWrap/>
            <w:vAlign w:val="bottom"/>
          </w:tcPr>
          <w:p w14:paraId="3C2787EB" w14:textId="77777777" w:rsidR="008969AB" w:rsidRDefault="008969AB" w:rsidP="00201AB8">
            <w:pPr>
              <w:jc w:val="right"/>
              <w:rPr>
                <w:sz w:val="18"/>
                <w:szCs w:val="18"/>
              </w:rPr>
            </w:pPr>
            <w:r>
              <w:rPr>
                <w:sz w:val="18"/>
                <w:szCs w:val="18"/>
              </w:rPr>
              <w:t>1,7</w:t>
            </w:r>
          </w:p>
        </w:tc>
        <w:tc>
          <w:tcPr>
            <w:tcW w:w="1199" w:type="dxa"/>
            <w:tcBorders>
              <w:top w:val="nil"/>
              <w:left w:val="nil"/>
              <w:bottom w:val="nil"/>
              <w:right w:val="nil"/>
            </w:tcBorders>
            <w:shd w:val="clear" w:color="auto" w:fill="auto"/>
            <w:noWrap/>
            <w:vAlign w:val="bottom"/>
          </w:tcPr>
          <w:p w14:paraId="539609DA" w14:textId="77777777" w:rsidR="008969AB" w:rsidRDefault="008969AB" w:rsidP="00201AB8">
            <w:pPr>
              <w:jc w:val="right"/>
              <w:rPr>
                <w:sz w:val="18"/>
                <w:szCs w:val="18"/>
              </w:rPr>
            </w:pPr>
            <w:r>
              <w:rPr>
                <w:sz w:val="18"/>
                <w:szCs w:val="18"/>
              </w:rPr>
              <w:t>14,9</w:t>
            </w:r>
          </w:p>
        </w:tc>
        <w:tc>
          <w:tcPr>
            <w:tcW w:w="1209" w:type="dxa"/>
            <w:tcBorders>
              <w:top w:val="nil"/>
              <w:left w:val="nil"/>
              <w:bottom w:val="nil"/>
              <w:right w:val="single" w:sz="4" w:space="0" w:color="auto"/>
            </w:tcBorders>
            <w:shd w:val="clear" w:color="auto" w:fill="auto"/>
            <w:noWrap/>
            <w:vAlign w:val="bottom"/>
          </w:tcPr>
          <w:p w14:paraId="3E04D4F9" w14:textId="77777777" w:rsidR="008969AB" w:rsidRDefault="008969AB" w:rsidP="00201AB8">
            <w:pPr>
              <w:jc w:val="right"/>
              <w:rPr>
                <w:sz w:val="18"/>
                <w:szCs w:val="18"/>
              </w:rPr>
            </w:pPr>
            <w:r>
              <w:rPr>
                <w:sz w:val="18"/>
                <w:szCs w:val="18"/>
              </w:rPr>
              <w:t>59,7%</w:t>
            </w:r>
          </w:p>
        </w:tc>
      </w:tr>
      <w:tr w:rsidR="008969AB" w:rsidRPr="00BB329E" w14:paraId="32A17AB8" w14:textId="77777777" w:rsidTr="00201AB8">
        <w:trPr>
          <w:trHeight w:val="250"/>
        </w:trPr>
        <w:tc>
          <w:tcPr>
            <w:tcW w:w="4250" w:type="dxa"/>
            <w:tcBorders>
              <w:top w:val="nil"/>
              <w:left w:val="single" w:sz="8" w:space="0" w:color="auto"/>
              <w:bottom w:val="nil"/>
              <w:right w:val="single" w:sz="4" w:space="0" w:color="auto"/>
            </w:tcBorders>
            <w:shd w:val="clear" w:color="auto" w:fill="auto"/>
            <w:noWrap/>
            <w:vAlign w:val="bottom"/>
            <w:hideMark/>
          </w:tcPr>
          <w:p w14:paraId="5E9F36FA" w14:textId="77777777" w:rsidR="008969AB" w:rsidRPr="00134765" w:rsidRDefault="008969AB" w:rsidP="00201AB8">
            <w:pPr>
              <w:rPr>
                <w:sz w:val="18"/>
                <w:szCs w:val="18"/>
              </w:rPr>
            </w:pPr>
            <w:r w:rsidRPr="00134765">
              <w:rPr>
                <w:sz w:val="18"/>
                <w:szCs w:val="18"/>
              </w:rPr>
              <w:t xml:space="preserve">    Капиталови</w:t>
            </w:r>
          </w:p>
        </w:tc>
        <w:tc>
          <w:tcPr>
            <w:tcW w:w="1147" w:type="dxa"/>
            <w:tcBorders>
              <w:top w:val="nil"/>
              <w:left w:val="single" w:sz="4" w:space="0" w:color="auto"/>
              <w:bottom w:val="nil"/>
              <w:right w:val="nil"/>
            </w:tcBorders>
            <w:shd w:val="clear" w:color="auto" w:fill="auto"/>
            <w:noWrap/>
            <w:vAlign w:val="bottom"/>
            <w:hideMark/>
          </w:tcPr>
          <w:p w14:paraId="1D0CF362" w14:textId="77777777" w:rsidR="008969AB" w:rsidRDefault="008969AB" w:rsidP="00201AB8">
            <w:pPr>
              <w:jc w:val="right"/>
              <w:rPr>
                <w:sz w:val="18"/>
                <w:szCs w:val="18"/>
              </w:rPr>
            </w:pPr>
            <w:r>
              <w:rPr>
                <w:sz w:val="18"/>
                <w:szCs w:val="18"/>
              </w:rPr>
              <w:t>13 474,1</w:t>
            </w:r>
          </w:p>
        </w:tc>
        <w:tc>
          <w:tcPr>
            <w:tcW w:w="1227" w:type="dxa"/>
            <w:tcBorders>
              <w:top w:val="nil"/>
              <w:left w:val="nil"/>
              <w:bottom w:val="nil"/>
              <w:right w:val="nil"/>
            </w:tcBorders>
            <w:shd w:val="clear" w:color="auto" w:fill="auto"/>
            <w:noWrap/>
            <w:vAlign w:val="bottom"/>
            <w:hideMark/>
          </w:tcPr>
          <w:p w14:paraId="14E1B2EC" w14:textId="77777777" w:rsidR="008969AB" w:rsidRDefault="008969AB" w:rsidP="00201AB8">
            <w:pPr>
              <w:jc w:val="right"/>
              <w:rPr>
                <w:sz w:val="18"/>
                <w:szCs w:val="18"/>
              </w:rPr>
            </w:pPr>
            <w:r>
              <w:rPr>
                <w:sz w:val="18"/>
                <w:szCs w:val="18"/>
              </w:rPr>
              <w:t>1 017,8</w:t>
            </w:r>
          </w:p>
        </w:tc>
        <w:tc>
          <w:tcPr>
            <w:tcW w:w="1222" w:type="dxa"/>
            <w:tcBorders>
              <w:top w:val="nil"/>
              <w:left w:val="nil"/>
              <w:bottom w:val="nil"/>
              <w:right w:val="nil"/>
            </w:tcBorders>
            <w:shd w:val="clear" w:color="auto" w:fill="auto"/>
            <w:noWrap/>
            <w:vAlign w:val="bottom"/>
            <w:hideMark/>
          </w:tcPr>
          <w:p w14:paraId="3199C3AE" w14:textId="77777777" w:rsidR="008969AB" w:rsidRDefault="008969AB" w:rsidP="00201AB8">
            <w:pPr>
              <w:jc w:val="right"/>
              <w:rPr>
                <w:sz w:val="18"/>
                <w:szCs w:val="18"/>
              </w:rPr>
            </w:pPr>
            <w:r>
              <w:rPr>
                <w:sz w:val="18"/>
                <w:szCs w:val="18"/>
              </w:rPr>
              <w:t>448,7</w:t>
            </w:r>
          </w:p>
        </w:tc>
        <w:tc>
          <w:tcPr>
            <w:tcW w:w="1199" w:type="dxa"/>
            <w:tcBorders>
              <w:top w:val="nil"/>
              <w:left w:val="nil"/>
              <w:bottom w:val="nil"/>
              <w:right w:val="nil"/>
            </w:tcBorders>
            <w:shd w:val="clear" w:color="auto" w:fill="auto"/>
            <w:noWrap/>
            <w:vAlign w:val="bottom"/>
            <w:hideMark/>
          </w:tcPr>
          <w:p w14:paraId="72F4A9AC" w14:textId="77777777" w:rsidR="008969AB" w:rsidRDefault="008969AB" w:rsidP="00201AB8">
            <w:pPr>
              <w:jc w:val="right"/>
              <w:rPr>
                <w:sz w:val="18"/>
                <w:szCs w:val="18"/>
              </w:rPr>
            </w:pPr>
            <w:r>
              <w:rPr>
                <w:sz w:val="18"/>
                <w:szCs w:val="18"/>
              </w:rPr>
              <w:t>569,0</w:t>
            </w:r>
          </w:p>
        </w:tc>
        <w:tc>
          <w:tcPr>
            <w:tcW w:w="1209" w:type="dxa"/>
            <w:tcBorders>
              <w:top w:val="nil"/>
              <w:left w:val="nil"/>
              <w:bottom w:val="nil"/>
              <w:right w:val="single" w:sz="4" w:space="0" w:color="auto"/>
            </w:tcBorders>
            <w:shd w:val="clear" w:color="auto" w:fill="auto"/>
            <w:noWrap/>
            <w:vAlign w:val="bottom"/>
            <w:hideMark/>
          </w:tcPr>
          <w:p w14:paraId="2F1E25EB" w14:textId="77777777" w:rsidR="008969AB" w:rsidRDefault="008969AB" w:rsidP="00201AB8">
            <w:pPr>
              <w:jc w:val="right"/>
              <w:rPr>
                <w:sz w:val="18"/>
                <w:szCs w:val="18"/>
              </w:rPr>
            </w:pPr>
            <w:r>
              <w:rPr>
                <w:sz w:val="18"/>
                <w:szCs w:val="18"/>
              </w:rPr>
              <w:t>7,6%</w:t>
            </w:r>
          </w:p>
        </w:tc>
      </w:tr>
      <w:tr w:rsidR="008969AB" w:rsidRPr="00BB329E" w14:paraId="512C2119" w14:textId="77777777" w:rsidTr="00201AB8">
        <w:trPr>
          <w:trHeight w:val="250"/>
        </w:trPr>
        <w:tc>
          <w:tcPr>
            <w:tcW w:w="4250" w:type="dxa"/>
            <w:tcBorders>
              <w:top w:val="nil"/>
              <w:left w:val="single" w:sz="8" w:space="0" w:color="auto"/>
              <w:right w:val="single" w:sz="4" w:space="0" w:color="auto"/>
            </w:tcBorders>
            <w:shd w:val="clear" w:color="auto" w:fill="auto"/>
            <w:noWrap/>
            <w:vAlign w:val="bottom"/>
            <w:hideMark/>
          </w:tcPr>
          <w:p w14:paraId="77EDB038" w14:textId="77777777" w:rsidR="008969AB" w:rsidRPr="00134765" w:rsidRDefault="008969AB" w:rsidP="00201AB8">
            <w:pPr>
              <w:rPr>
                <w:sz w:val="18"/>
                <w:szCs w:val="18"/>
              </w:rPr>
            </w:pPr>
            <w:r w:rsidRPr="00134765">
              <w:rPr>
                <w:sz w:val="18"/>
                <w:szCs w:val="18"/>
              </w:rPr>
              <w:t xml:space="preserve">           в т.ч. нетен прираст на държавния резерв</w:t>
            </w:r>
          </w:p>
        </w:tc>
        <w:tc>
          <w:tcPr>
            <w:tcW w:w="1147" w:type="dxa"/>
            <w:tcBorders>
              <w:top w:val="nil"/>
              <w:left w:val="single" w:sz="4" w:space="0" w:color="auto"/>
              <w:bottom w:val="nil"/>
              <w:right w:val="nil"/>
            </w:tcBorders>
            <w:shd w:val="clear" w:color="auto" w:fill="auto"/>
            <w:noWrap/>
            <w:vAlign w:val="bottom"/>
            <w:hideMark/>
          </w:tcPr>
          <w:p w14:paraId="748E4A34" w14:textId="77777777" w:rsidR="008969AB" w:rsidRDefault="008969AB" w:rsidP="00201AB8">
            <w:pPr>
              <w:jc w:val="right"/>
              <w:rPr>
                <w:sz w:val="18"/>
                <w:szCs w:val="18"/>
              </w:rPr>
            </w:pPr>
            <w:r>
              <w:rPr>
                <w:sz w:val="18"/>
                <w:szCs w:val="18"/>
              </w:rPr>
              <w:t>31,3</w:t>
            </w:r>
          </w:p>
        </w:tc>
        <w:tc>
          <w:tcPr>
            <w:tcW w:w="1227" w:type="dxa"/>
            <w:tcBorders>
              <w:top w:val="nil"/>
              <w:left w:val="nil"/>
              <w:bottom w:val="nil"/>
              <w:right w:val="nil"/>
            </w:tcBorders>
            <w:shd w:val="clear" w:color="auto" w:fill="auto"/>
            <w:noWrap/>
            <w:vAlign w:val="bottom"/>
            <w:hideMark/>
          </w:tcPr>
          <w:p w14:paraId="11C1A275" w14:textId="77777777" w:rsidR="008969AB" w:rsidRDefault="008969AB" w:rsidP="00201AB8">
            <w:pPr>
              <w:jc w:val="right"/>
              <w:rPr>
                <w:sz w:val="18"/>
                <w:szCs w:val="18"/>
              </w:rPr>
            </w:pPr>
            <w:r>
              <w:rPr>
                <w:sz w:val="18"/>
                <w:szCs w:val="18"/>
              </w:rPr>
              <w:t>4,3</w:t>
            </w:r>
          </w:p>
        </w:tc>
        <w:tc>
          <w:tcPr>
            <w:tcW w:w="1222" w:type="dxa"/>
            <w:tcBorders>
              <w:top w:val="nil"/>
              <w:left w:val="nil"/>
              <w:bottom w:val="nil"/>
              <w:right w:val="nil"/>
            </w:tcBorders>
            <w:shd w:val="clear" w:color="auto" w:fill="auto"/>
            <w:noWrap/>
            <w:vAlign w:val="bottom"/>
            <w:hideMark/>
          </w:tcPr>
          <w:p w14:paraId="4C8215D4" w14:textId="77777777" w:rsidR="008969AB" w:rsidRDefault="008969AB" w:rsidP="00201AB8">
            <w:pPr>
              <w:jc w:val="right"/>
              <w:rPr>
                <w:sz w:val="18"/>
                <w:szCs w:val="18"/>
              </w:rPr>
            </w:pPr>
            <w:r>
              <w:rPr>
                <w:sz w:val="18"/>
                <w:szCs w:val="18"/>
              </w:rPr>
              <w:t>4,3</w:t>
            </w:r>
          </w:p>
        </w:tc>
        <w:tc>
          <w:tcPr>
            <w:tcW w:w="1199" w:type="dxa"/>
            <w:tcBorders>
              <w:top w:val="nil"/>
              <w:left w:val="nil"/>
              <w:bottom w:val="nil"/>
              <w:right w:val="nil"/>
            </w:tcBorders>
            <w:shd w:val="clear" w:color="auto" w:fill="auto"/>
            <w:noWrap/>
            <w:vAlign w:val="bottom"/>
          </w:tcPr>
          <w:p w14:paraId="358C501D" w14:textId="77777777" w:rsidR="008969AB" w:rsidRDefault="008969AB" w:rsidP="00201AB8">
            <w:pPr>
              <w:jc w:val="right"/>
              <w:rPr>
                <w:sz w:val="18"/>
                <w:szCs w:val="18"/>
              </w:rPr>
            </w:pPr>
          </w:p>
        </w:tc>
        <w:tc>
          <w:tcPr>
            <w:tcW w:w="1209" w:type="dxa"/>
            <w:tcBorders>
              <w:top w:val="nil"/>
              <w:left w:val="nil"/>
              <w:bottom w:val="nil"/>
              <w:right w:val="single" w:sz="4" w:space="0" w:color="auto"/>
            </w:tcBorders>
            <w:shd w:val="clear" w:color="auto" w:fill="auto"/>
            <w:noWrap/>
            <w:vAlign w:val="bottom"/>
          </w:tcPr>
          <w:p w14:paraId="62EA4A2A" w14:textId="77777777" w:rsidR="008969AB" w:rsidRDefault="008969AB" w:rsidP="00201AB8">
            <w:pPr>
              <w:jc w:val="right"/>
              <w:rPr>
                <w:sz w:val="18"/>
                <w:szCs w:val="18"/>
              </w:rPr>
            </w:pPr>
            <w:r>
              <w:rPr>
                <w:sz w:val="18"/>
                <w:szCs w:val="18"/>
              </w:rPr>
              <w:t>13,6%</w:t>
            </w:r>
          </w:p>
        </w:tc>
      </w:tr>
      <w:tr w:rsidR="008969AB" w:rsidRPr="00BB329E" w14:paraId="647CDDC6" w14:textId="77777777" w:rsidTr="00201AB8">
        <w:trPr>
          <w:trHeight w:val="250"/>
        </w:trPr>
        <w:tc>
          <w:tcPr>
            <w:tcW w:w="4250" w:type="dxa"/>
            <w:tcBorders>
              <w:top w:val="nil"/>
              <w:left w:val="single" w:sz="8" w:space="0" w:color="auto"/>
              <w:bottom w:val="nil"/>
              <w:right w:val="single" w:sz="4" w:space="0" w:color="auto"/>
            </w:tcBorders>
            <w:shd w:val="clear" w:color="auto" w:fill="auto"/>
            <w:noWrap/>
            <w:vAlign w:val="bottom"/>
            <w:hideMark/>
          </w:tcPr>
          <w:p w14:paraId="24FE8EE1" w14:textId="77777777" w:rsidR="008969AB" w:rsidRPr="00134765" w:rsidRDefault="008969AB" w:rsidP="00201AB8">
            <w:pPr>
              <w:rPr>
                <w:sz w:val="18"/>
                <w:szCs w:val="18"/>
              </w:rPr>
            </w:pPr>
            <w:r w:rsidRPr="00134765">
              <w:rPr>
                <w:sz w:val="18"/>
                <w:szCs w:val="18"/>
              </w:rPr>
              <w:t xml:space="preserve">  Лихвени</w:t>
            </w:r>
          </w:p>
        </w:tc>
        <w:tc>
          <w:tcPr>
            <w:tcW w:w="1147" w:type="dxa"/>
            <w:tcBorders>
              <w:top w:val="nil"/>
              <w:left w:val="single" w:sz="4" w:space="0" w:color="auto"/>
              <w:bottom w:val="nil"/>
              <w:right w:val="nil"/>
            </w:tcBorders>
            <w:shd w:val="clear" w:color="auto" w:fill="auto"/>
            <w:noWrap/>
            <w:vAlign w:val="bottom"/>
            <w:hideMark/>
          </w:tcPr>
          <w:p w14:paraId="54BC1C90" w14:textId="77777777" w:rsidR="008969AB" w:rsidRDefault="008969AB" w:rsidP="00201AB8">
            <w:pPr>
              <w:jc w:val="right"/>
              <w:rPr>
                <w:sz w:val="18"/>
                <w:szCs w:val="18"/>
              </w:rPr>
            </w:pPr>
            <w:r>
              <w:rPr>
                <w:sz w:val="18"/>
                <w:szCs w:val="18"/>
              </w:rPr>
              <w:t>1 623,2</w:t>
            </w:r>
          </w:p>
        </w:tc>
        <w:tc>
          <w:tcPr>
            <w:tcW w:w="1227" w:type="dxa"/>
            <w:tcBorders>
              <w:top w:val="nil"/>
              <w:left w:val="nil"/>
              <w:bottom w:val="nil"/>
              <w:right w:val="nil"/>
            </w:tcBorders>
            <w:shd w:val="clear" w:color="auto" w:fill="auto"/>
            <w:noWrap/>
            <w:vAlign w:val="bottom"/>
            <w:hideMark/>
          </w:tcPr>
          <w:p w14:paraId="4FA09D73" w14:textId="77777777" w:rsidR="008969AB" w:rsidRDefault="008969AB" w:rsidP="00201AB8">
            <w:pPr>
              <w:jc w:val="right"/>
              <w:rPr>
                <w:sz w:val="18"/>
                <w:szCs w:val="18"/>
              </w:rPr>
            </w:pPr>
            <w:r>
              <w:rPr>
                <w:sz w:val="18"/>
                <w:szCs w:val="18"/>
              </w:rPr>
              <w:t>411,0</w:t>
            </w:r>
          </w:p>
        </w:tc>
        <w:tc>
          <w:tcPr>
            <w:tcW w:w="1222" w:type="dxa"/>
            <w:tcBorders>
              <w:top w:val="nil"/>
              <w:left w:val="nil"/>
              <w:bottom w:val="nil"/>
              <w:right w:val="nil"/>
            </w:tcBorders>
            <w:shd w:val="clear" w:color="auto" w:fill="auto"/>
            <w:noWrap/>
            <w:vAlign w:val="bottom"/>
            <w:hideMark/>
          </w:tcPr>
          <w:p w14:paraId="5FC51626" w14:textId="77777777" w:rsidR="008969AB" w:rsidRDefault="008969AB" w:rsidP="00201AB8">
            <w:pPr>
              <w:jc w:val="right"/>
              <w:rPr>
                <w:sz w:val="18"/>
                <w:szCs w:val="18"/>
              </w:rPr>
            </w:pPr>
            <w:r>
              <w:rPr>
                <w:sz w:val="18"/>
                <w:szCs w:val="18"/>
              </w:rPr>
              <w:t>411,0</w:t>
            </w:r>
          </w:p>
        </w:tc>
        <w:tc>
          <w:tcPr>
            <w:tcW w:w="1199" w:type="dxa"/>
            <w:tcBorders>
              <w:top w:val="nil"/>
              <w:left w:val="nil"/>
              <w:bottom w:val="nil"/>
              <w:right w:val="nil"/>
            </w:tcBorders>
            <w:shd w:val="clear" w:color="auto" w:fill="auto"/>
            <w:noWrap/>
            <w:vAlign w:val="bottom"/>
          </w:tcPr>
          <w:p w14:paraId="26EF93B0" w14:textId="77777777" w:rsidR="008969AB" w:rsidRDefault="008969AB" w:rsidP="00201AB8">
            <w:pPr>
              <w:jc w:val="right"/>
              <w:rPr>
                <w:sz w:val="18"/>
                <w:szCs w:val="18"/>
              </w:rPr>
            </w:pPr>
            <w:r>
              <w:rPr>
                <w:sz w:val="18"/>
                <w:szCs w:val="18"/>
              </w:rPr>
              <w:t>0,01</w:t>
            </w:r>
          </w:p>
        </w:tc>
        <w:tc>
          <w:tcPr>
            <w:tcW w:w="1209" w:type="dxa"/>
            <w:tcBorders>
              <w:top w:val="nil"/>
              <w:left w:val="nil"/>
              <w:bottom w:val="nil"/>
              <w:right w:val="single" w:sz="4" w:space="0" w:color="auto"/>
            </w:tcBorders>
            <w:shd w:val="clear" w:color="auto" w:fill="auto"/>
            <w:noWrap/>
            <w:vAlign w:val="bottom"/>
            <w:hideMark/>
          </w:tcPr>
          <w:p w14:paraId="50017F48" w14:textId="77777777" w:rsidR="008969AB" w:rsidRDefault="008969AB" w:rsidP="00201AB8">
            <w:pPr>
              <w:jc w:val="right"/>
              <w:rPr>
                <w:sz w:val="18"/>
                <w:szCs w:val="18"/>
              </w:rPr>
            </w:pPr>
            <w:r>
              <w:rPr>
                <w:sz w:val="18"/>
                <w:szCs w:val="18"/>
              </w:rPr>
              <w:t>25,3%</w:t>
            </w:r>
          </w:p>
        </w:tc>
      </w:tr>
      <w:tr w:rsidR="008969AB" w:rsidRPr="00BB329E" w14:paraId="12B289F4" w14:textId="77777777" w:rsidTr="00201AB8">
        <w:trPr>
          <w:trHeight w:val="250"/>
        </w:trPr>
        <w:tc>
          <w:tcPr>
            <w:tcW w:w="4250" w:type="dxa"/>
            <w:tcBorders>
              <w:top w:val="nil"/>
              <w:left w:val="single" w:sz="8" w:space="0" w:color="auto"/>
              <w:bottom w:val="nil"/>
              <w:right w:val="single" w:sz="4" w:space="0" w:color="auto"/>
            </w:tcBorders>
            <w:noWrap/>
            <w:vAlign w:val="bottom"/>
          </w:tcPr>
          <w:p w14:paraId="2554CEFF" w14:textId="77777777" w:rsidR="008969AB" w:rsidRPr="00134765" w:rsidRDefault="008969AB" w:rsidP="00201AB8">
            <w:pPr>
              <w:rPr>
                <w:sz w:val="18"/>
                <w:szCs w:val="18"/>
              </w:rPr>
            </w:pPr>
            <w:r w:rsidRPr="00134765">
              <w:rPr>
                <w:sz w:val="18"/>
                <w:szCs w:val="18"/>
                <w:lang w:val="ru-RU"/>
              </w:rPr>
              <w:t xml:space="preserve">  </w:t>
            </w:r>
            <w:r w:rsidRPr="00134765">
              <w:rPr>
                <w:sz w:val="18"/>
                <w:szCs w:val="18"/>
              </w:rPr>
              <w:t>Резерв за неотложни и непредвидени разходи</w:t>
            </w:r>
          </w:p>
        </w:tc>
        <w:tc>
          <w:tcPr>
            <w:tcW w:w="1147" w:type="dxa"/>
            <w:tcBorders>
              <w:left w:val="single" w:sz="4" w:space="0" w:color="auto"/>
            </w:tcBorders>
            <w:noWrap/>
            <w:vAlign w:val="bottom"/>
          </w:tcPr>
          <w:p w14:paraId="4195CCDA" w14:textId="77777777" w:rsidR="008969AB" w:rsidRDefault="008969AB" w:rsidP="00201AB8">
            <w:pPr>
              <w:jc w:val="right"/>
              <w:rPr>
                <w:sz w:val="18"/>
                <w:szCs w:val="18"/>
              </w:rPr>
            </w:pPr>
            <w:r>
              <w:rPr>
                <w:sz w:val="18"/>
                <w:szCs w:val="18"/>
              </w:rPr>
              <w:t>409,1</w:t>
            </w:r>
          </w:p>
        </w:tc>
        <w:tc>
          <w:tcPr>
            <w:tcW w:w="1227" w:type="dxa"/>
            <w:tcBorders>
              <w:top w:val="nil"/>
              <w:left w:val="nil"/>
              <w:bottom w:val="nil"/>
              <w:right w:val="nil"/>
            </w:tcBorders>
            <w:shd w:val="clear" w:color="auto" w:fill="auto"/>
            <w:noWrap/>
            <w:vAlign w:val="bottom"/>
          </w:tcPr>
          <w:p w14:paraId="2AE09439" w14:textId="77777777" w:rsidR="008969AB" w:rsidRDefault="008969AB" w:rsidP="00201AB8">
            <w:pPr>
              <w:jc w:val="right"/>
              <w:rPr>
                <w:sz w:val="18"/>
                <w:szCs w:val="18"/>
              </w:rPr>
            </w:pPr>
          </w:p>
        </w:tc>
        <w:tc>
          <w:tcPr>
            <w:tcW w:w="1222" w:type="dxa"/>
            <w:tcBorders>
              <w:top w:val="nil"/>
              <w:left w:val="nil"/>
              <w:bottom w:val="nil"/>
              <w:right w:val="nil"/>
            </w:tcBorders>
            <w:shd w:val="clear" w:color="auto" w:fill="auto"/>
            <w:noWrap/>
            <w:vAlign w:val="bottom"/>
          </w:tcPr>
          <w:p w14:paraId="04A31E0F" w14:textId="77777777" w:rsidR="008969AB" w:rsidRDefault="008969AB" w:rsidP="00201AB8">
            <w:pPr>
              <w:rPr>
                <w:sz w:val="20"/>
                <w:szCs w:val="20"/>
              </w:rPr>
            </w:pPr>
          </w:p>
        </w:tc>
        <w:tc>
          <w:tcPr>
            <w:tcW w:w="1199" w:type="dxa"/>
            <w:tcBorders>
              <w:top w:val="nil"/>
              <w:left w:val="nil"/>
              <w:bottom w:val="nil"/>
              <w:right w:val="nil"/>
            </w:tcBorders>
            <w:shd w:val="clear" w:color="auto" w:fill="auto"/>
            <w:noWrap/>
            <w:vAlign w:val="bottom"/>
          </w:tcPr>
          <w:p w14:paraId="00C4E6A4" w14:textId="77777777" w:rsidR="008969AB" w:rsidRDefault="008969AB" w:rsidP="00201AB8">
            <w:pPr>
              <w:rPr>
                <w:sz w:val="20"/>
                <w:szCs w:val="20"/>
              </w:rPr>
            </w:pPr>
          </w:p>
        </w:tc>
        <w:tc>
          <w:tcPr>
            <w:tcW w:w="1209" w:type="dxa"/>
            <w:tcBorders>
              <w:top w:val="nil"/>
              <w:left w:val="nil"/>
              <w:bottom w:val="nil"/>
              <w:right w:val="single" w:sz="4" w:space="0" w:color="auto"/>
            </w:tcBorders>
            <w:shd w:val="clear" w:color="auto" w:fill="auto"/>
            <w:noWrap/>
            <w:vAlign w:val="bottom"/>
          </w:tcPr>
          <w:p w14:paraId="1CD0D61B" w14:textId="77777777" w:rsidR="008969AB" w:rsidRDefault="008969AB" w:rsidP="00201AB8">
            <w:pPr>
              <w:rPr>
                <w:sz w:val="18"/>
                <w:szCs w:val="18"/>
              </w:rPr>
            </w:pPr>
            <w:r>
              <w:rPr>
                <w:sz w:val="18"/>
                <w:szCs w:val="18"/>
              </w:rPr>
              <w:t> </w:t>
            </w:r>
          </w:p>
        </w:tc>
      </w:tr>
      <w:tr w:rsidR="008969AB" w:rsidRPr="00BB329E" w14:paraId="2A564FA6" w14:textId="77777777" w:rsidTr="00201AB8">
        <w:trPr>
          <w:trHeight w:val="250"/>
        </w:trPr>
        <w:tc>
          <w:tcPr>
            <w:tcW w:w="4250" w:type="dxa"/>
            <w:tcBorders>
              <w:top w:val="nil"/>
              <w:left w:val="single" w:sz="8" w:space="0" w:color="auto"/>
              <w:bottom w:val="single" w:sz="4" w:space="0" w:color="auto"/>
              <w:right w:val="single" w:sz="4" w:space="0" w:color="auto"/>
            </w:tcBorders>
            <w:shd w:val="clear" w:color="auto" w:fill="auto"/>
            <w:noWrap/>
            <w:vAlign w:val="bottom"/>
            <w:hideMark/>
          </w:tcPr>
          <w:p w14:paraId="666300D6" w14:textId="77777777" w:rsidR="008969AB" w:rsidRPr="00134765" w:rsidRDefault="008969AB" w:rsidP="00201AB8">
            <w:pPr>
              <w:rPr>
                <w:sz w:val="18"/>
                <w:szCs w:val="18"/>
              </w:rPr>
            </w:pPr>
            <w:r w:rsidRPr="00134765">
              <w:rPr>
                <w:sz w:val="18"/>
                <w:szCs w:val="18"/>
              </w:rPr>
              <w:t xml:space="preserve">  Вноска за общия бюджет на ЕС</w:t>
            </w:r>
          </w:p>
        </w:tc>
        <w:tc>
          <w:tcPr>
            <w:tcW w:w="1147" w:type="dxa"/>
            <w:tcBorders>
              <w:top w:val="nil"/>
              <w:left w:val="single" w:sz="4" w:space="0" w:color="auto"/>
              <w:bottom w:val="single" w:sz="4" w:space="0" w:color="auto"/>
              <w:right w:val="nil"/>
            </w:tcBorders>
            <w:shd w:val="clear" w:color="auto" w:fill="auto"/>
            <w:noWrap/>
            <w:vAlign w:val="bottom"/>
            <w:hideMark/>
          </w:tcPr>
          <w:p w14:paraId="7F23F3DB" w14:textId="77777777" w:rsidR="008969AB" w:rsidRDefault="008969AB" w:rsidP="00201AB8">
            <w:pPr>
              <w:jc w:val="right"/>
              <w:rPr>
                <w:sz w:val="18"/>
                <w:szCs w:val="18"/>
              </w:rPr>
            </w:pPr>
            <w:r>
              <w:rPr>
                <w:sz w:val="18"/>
                <w:szCs w:val="18"/>
              </w:rPr>
              <w:t>2 020,5</w:t>
            </w:r>
          </w:p>
        </w:tc>
        <w:tc>
          <w:tcPr>
            <w:tcW w:w="1227" w:type="dxa"/>
            <w:tcBorders>
              <w:top w:val="nil"/>
              <w:left w:val="nil"/>
              <w:bottom w:val="single" w:sz="4" w:space="0" w:color="auto"/>
              <w:right w:val="nil"/>
            </w:tcBorders>
            <w:shd w:val="clear" w:color="auto" w:fill="auto"/>
            <w:noWrap/>
            <w:vAlign w:val="bottom"/>
            <w:hideMark/>
          </w:tcPr>
          <w:p w14:paraId="214F267A" w14:textId="77777777" w:rsidR="008969AB" w:rsidRDefault="008969AB" w:rsidP="00201AB8">
            <w:pPr>
              <w:jc w:val="right"/>
              <w:rPr>
                <w:sz w:val="18"/>
                <w:szCs w:val="18"/>
              </w:rPr>
            </w:pPr>
            <w:r>
              <w:rPr>
                <w:sz w:val="18"/>
                <w:szCs w:val="18"/>
              </w:rPr>
              <w:t>508,3</w:t>
            </w:r>
          </w:p>
        </w:tc>
        <w:tc>
          <w:tcPr>
            <w:tcW w:w="1222" w:type="dxa"/>
            <w:tcBorders>
              <w:top w:val="nil"/>
              <w:left w:val="nil"/>
              <w:bottom w:val="single" w:sz="4" w:space="0" w:color="auto"/>
              <w:right w:val="nil"/>
            </w:tcBorders>
            <w:shd w:val="clear" w:color="auto" w:fill="auto"/>
            <w:noWrap/>
            <w:vAlign w:val="bottom"/>
            <w:hideMark/>
          </w:tcPr>
          <w:p w14:paraId="7483CAFE" w14:textId="77777777" w:rsidR="008969AB" w:rsidRDefault="008969AB" w:rsidP="00201AB8">
            <w:pPr>
              <w:jc w:val="right"/>
              <w:rPr>
                <w:sz w:val="18"/>
                <w:szCs w:val="18"/>
              </w:rPr>
            </w:pPr>
            <w:r>
              <w:rPr>
                <w:sz w:val="18"/>
                <w:szCs w:val="18"/>
              </w:rPr>
              <w:t>508,3</w:t>
            </w:r>
          </w:p>
        </w:tc>
        <w:tc>
          <w:tcPr>
            <w:tcW w:w="1199" w:type="dxa"/>
            <w:tcBorders>
              <w:top w:val="nil"/>
              <w:left w:val="nil"/>
              <w:bottom w:val="single" w:sz="4" w:space="0" w:color="auto"/>
              <w:right w:val="nil"/>
            </w:tcBorders>
            <w:shd w:val="clear" w:color="auto" w:fill="auto"/>
            <w:noWrap/>
            <w:vAlign w:val="bottom"/>
          </w:tcPr>
          <w:p w14:paraId="7F0F66B5" w14:textId="77777777" w:rsidR="008969AB" w:rsidRDefault="008969AB" w:rsidP="00201AB8">
            <w:pPr>
              <w:jc w:val="right"/>
              <w:rPr>
                <w:sz w:val="18"/>
                <w:szCs w:val="18"/>
              </w:rPr>
            </w:pPr>
          </w:p>
        </w:tc>
        <w:tc>
          <w:tcPr>
            <w:tcW w:w="1209" w:type="dxa"/>
            <w:tcBorders>
              <w:top w:val="nil"/>
              <w:left w:val="nil"/>
              <w:bottom w:val="single" w:sz="4" w:space="0" w:color="auto"/>
              <w:right w:val="single" w:sz="4" w:space="0" w:color="auto"/>
            </w:tcBorders>
            <w:shd w:val="clear" w:color="auto" w:fill="auto"/>
            <w:noWrap/>
            <w:vAlign w:val="bottom"/>
            <w:hideMark/>
          </w:tcPr>
          <w:p w14:paraId="0CE43873" w14:textId="77777777" w:rsidR="008969AB" w:rsidRDefault="008969AB" w:rsidP="00201AB8">
            <w:pPr>
              <w:jc w:val="right"/>
              <w:rPr>
                <w:sz w:val="18"/>
                <w:szCs w:val="18"/>
              </w:rPr>
            </w:pPr>
            <w:r>
              <w:rPr>
                <w:sz w:val="18"/>
                <w:szCs w:val="18"/>
              </w:rPr>
              <w:t>25,2%</w:t>
            </w:r>
          </w:p>
        </w:tc>
      </w:tr>
      <w:tr w:rsidR="008969AB" w:rsidRPr="00BB329E" w14:paraId="53627BDE" w14:textId="77777777" w:rsidTr="00201AB8">
        <w:trPr>
          <w:trHeight w:val="250"/>
        </w:trPr>
        <w:tc>
          <w:tcPr>
            <w:tcW w:w="4250" w:type="dxa"/>
            <w:tcBorders>
              <w:top w:val="nil"/>
              <w:left w:val="single" w:sz="8" w:space="0" w:color="auto"/>
              <w:bottom w:val="single" w:sz="4" w:space="0" w:color="auto"/>
              <w:right w:val="single" w:sz="4" w:space="0" w:color="auto"/>
            </w:tcBorders>
            <w:shd w:val="clear" w:color="auto" w:fill="auto"/>
            <w:noWrap/>
            <w:vAlign w:val="bottom"/>
            <w:hideMark/>
          </w:tcPr>
          <w:p w14:paraId="4C3A4BCD" w14:textId="77777777" w:rsidR="008969AB" w:rsidRPr="00134765" w:rsidRDefault="008969AB" w:rsidP="00201AB8">
            <w:pPr>
              <w:rPr>
                <w:sz w:val="18"/>
                <w:szCs w:val="18"/>
              </w:rPr>
            </w:pPr>
            <w:r w:rsidRPr="00134765">
              <w:rPr>
                <w:sz w:val="18"/>
                <w:szCs w:val="18"/>
              </w:rPr>
              <w:t>Трансфери</w:t>
            </w:r>
            <w:r w:rsidRPr="00134765">
              <w:rPr>
                <w:sz w:val="18"/>
                <w:szCs w:val="18"/>
                <w:lang w:val="en-US"/>
              </w:rPr>
              <w:t xml:space="preserve"> </w:t>
            </w:r>
            <w:r w:rsidRPr="00134765">
              <w:rPr>
                <w:sz w:val="18"/>
                <w:szCs w:val="18"/>
              </w:rPr>
              <w:t>-</w:t>
            </w:r>
            <w:r w:rsidRPr="00134765">
              <w:rPr>
                <w:sz w:val="18"/>
                <w:szCs w:val="18"/>
                <w:lang w:val="en-US"/>
              </w:rPr>
              <w:t xml:space="preserve"> </w:t>
            </w:r>
            <w:r w:rsidRPr="00134765">
              <w:rPr>
                <w:sz w:val="18"/>
                <w:szCs w:val="18"/>
              </w:rPr>
              <w:t>нето</w:t>
            </w:r>
          </w:p>
        </w:tc>
        <w:tc>
          <w:tcPr>
            <w:tcW w:w="1147" w:type="dxa"/>
            <w:tcBorders>
              <w:top w:val="single" w:sz="4" w:space="0" w:color="auto"/>
              <w:left w:val="single" w:sz="4" w:space="0" w:color="auto"/>
              <w:bottom w:val="single" w:sz="4" w:space="0" w:color="auto"/>
              <w:right w:val="nil"/>
            </w:tcBorders>
            <w:shd w:val="clear" w:color="auto" w:fill="auto"/>
            <w:noWrap/>
            <w:vAlign w:val="bottom"/>
            <w:hideMark/>
          </w:tcPr>
          <w:p w14:paraId="737ACFA9" w14:textId="77777777" w:rsidR="008969AB" w:rsidRDefault="008969AB" w:rsidP="00201AB8">
            <w:pPr>
              <w:jc w:val="right"/>
              <w:rPr>
                <w:sz w:val="18"/>
                <w:szCs w:val="18"/>
              </w:rPr>
            </w:pPr>
          </w:p>
        </w:tc>
        <w:tc>
          <w:tcPr>
            <w:tcW w:w="1227" w:type="dxa"/>
            <w:tcBorders>
              <w:top w:val="single" w:sz="4" w:space="0" w:color="auto"/>
              <w:left w:val="nil"/>
              <w:bottom w:val="single" w:sz="4" w:space="0" w:color="auto"/>
              <w:right w:val="nil"/>
            </w:tcBorders>
            <w:shd w:val="clear" w:color="auto" w:fill="auto"/>
            <w:noWrap/>
            <w:vAlign w:val="bottom"/>
            <w:hideMark/>
          </w:tcPr>
          <w:p w14:paraId="497D7E94" w14:textId="77777777" w:rsidR="008969AB" w:rsidRDefault="008969AB" w:rsidP="00201AB8">
            <w:pPr>
              <w:rPr>
                <w:sz w:val="20"/>
                <w:szCs w:val="20"/>
              </w:rPr>
            </w:pPr>
          </w:p>
        </w:tc>
        <w:tc>
          <w:tcPr>
            <w:tcW w:w="1222" w:type="dxa"/>
            <w:tcBorders>
              <w:top w:val="single" w:sz="4" w:space="0" w:color="auto"/>
              <w:left w:val="nil"/>
              <w:bottom w:val="single" w:sz="4" w:space="0" w:color="auto"/>
              <w:right w:val="nil"/>
            </w:tcBorders>
            <w:shd w:val="clear" w:color="auto" w:fill="auto"/>
            <w:noWrap/>
            <w:vAlign w:val="bottom"/>
            <w:hideMark/>
          </w:tcPr>
          <w:p w14:paraId="6E6DDB17" w14:textId="77777777" w:rsidR="008969AB" w:rsidRDefault="008969AB" w:rsidP="00201AB8">
            <w:pPr>
              <w:jc w:val="right"/>
              <w:rPr>
                <w:color w:val="000000"/>
                <w:sz w:val="18"/>
                <w:szCs w:val="18"/>
              </w:rPr>
            </w:pPr>
            <w:r>
              <w:rPr>
                <w:color w:val="000000"/>
                <w:sz w:val="18"/>
                <w:szCs w:val="18"/>
              </w:rPr>
              <w:t>-145,1</w:t>
            </w:r>
          </w:p>
        </w:tc>
        <w:tc>
          <w:tcPr>
            <w:tcW w:w="1199" w:type="dxa"/>
            <w:tcBorders>
              <w:top w:val="single" w:sz="4" w:space="0" w:color="auto"/>
              <w:left w:val="nil"/>
              <w:bottom w:val="single" w:sz="4" w:space="0" w:color="auto"/>
              <w:right w:val="nil"/>
            </w:tcBorders>
            <w:shd w:val="clear" w:color="auto" w:fill="auto"/>
            <w:noWrap/>
            <w:vAlign w:val="bottom"/>
            <w:hideMark/>
          </w:tcPr>
          <w:p w14:paraId="077AEDB5" w14:textId="77777777" w:rsidR="008969AB" w:rsidRDefault="008969AB" w:rsidP="00201AB8">
            <w:pPr>
              <w:jc w:val="right"/>
              <w:rPr>
                <w:color w:val="000000"/>
                <w:sz w:val="18"/>
                <w:szCs w:val="18"/>
              </w:rPr>
            </w:pPr>
            <w:r>
              <w:rPr>
                <w:color w:val="000000"/>
                <w:sz w:val="18"/>
                <w:szCs w:val="18"/>
              </w:rPr>
              <w:t>145,1</w:t>
            </w:r>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14:paraId="11FDDF0C" w14:textId="77777777" w:rsidR="008969AB" w:rsidRDefault="008969AB" w:rsidP="00201AB8">
            <w:pPr>
              <w:rPr>
                <w:b/>
                <w:bCs/>
                <w:sz w:val="18"/>
                <w:szCs w:val="18"/>
              </w:rPr>
            </w:pPr>
            <w:r>
              <w:rPr>
                <w:b/>
                <w:bCs/>
                <w:sz w:val="18"/>
                <w:szCs w:val="18"/>
              </w:rPr>
              <w:t> </w:t>
            </w:r>
          </w:p>
        </w:tc>
      </w:tr>
      <w:tr w:rsidR="008969AB" w:rsidRPr="00BB329E" w14:paraId="03B3211E" w14:textId="77777777" w:rsidTr="00201AB8">
        <w:trPr>
          <w:trHeight w:val="265"/>
        </w:trPr>
        <w:tc>
          <w:tcPr>
            <w:tcW w:w="425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14:paraId="0436C972" w14:textId="77777777" w:rsidR="008969AB" w:rsidRPr="00134765" w:rsidRDefault="008969AB" w:rsidP="00201AB8">
            <w:pPr>
              <w:rPr>
                <w:b/>
                <w:bCs/>
                <w:sz w:val="18"/>
                <w:szCs w:val="18"/>
              </w:rPr>
            </w:pPr>
            <w:r w:rsidRPr="00134765">
              <w:rPr>
                <w:b/>
                <w:bCs/>
                <w:sz w:val="18"/>
                <w:szCs w:val="18"/>
              </w:rPr>
              <w:t>БЮДЖЕТНО САЛДО</w:t>
            </w:r>
          </w:p>
        </w:tc>
        <w:tc>
          <w:tcPr>
            <w:tcW w:w="1147" w:type="dxa"/>
            <w:tcBorders>
              <w:top w:val="nil"/>
              <w:left w:val="single" w:sz="4" w:space="0" w:color="auto"/>
              <w:bottom w:val="single" w:sz="8" w:space="0" w:color="auto"/>
              <w:right w:val="nil"/>
            </w:tcBorders>
            <w:shd w:val="clear" w:color="auto" w:fill="auto"/>
            <w:noWrap/>
            <w:vAlign w:val="bottom"/>
            <w:hideMark/>
          </w:tcPr>
          <w:p w14:paraId="44DACD11" w14:textId="77777777" w:rsidR="008969AB" w:rsidRDefault="008969AB" w:rsidP="00201AB8">
            <w:pPr>
              <w:jc w:val="right"/>
              <w:rPr>
                <w:b/>
                <w:bCs/>
                <w:sz w:val="18"/>
                <w:szCs w:val="18"/>
              </w:rPr>
            </w:pPr>
            <w:r>
              <w:rPr>
                <w:b/>
                <w:bCs/>
                <w:sz w:val="18"/>
                <w:szCs w:val="18"/>
              </w:rPr>
              <w:t>-6 435,2</w:t>
            </w:r>
          </w:p>
        </w:tc>
        <w:tc>
          <w:tcPr>
            <w:tcW w:w="1227" w:type="dxa"/>
            <w:tcBorders>
              <w:top w:val="single" w:sz="4" w:space="0" w:color="auto"/>
              <w:left w:val="nil"/>
              <w:bottom w:val="single" w:sz="4" w:space="0" w:color="auto"/>
              <w:right w:val="nil"/>
            </w:tcBorders>
            <w:shd w:val="clear" w:color="auto" w:fill="auto"/>
            <w:noWrap/>
            <w:vAlign w:val="bottom"/>
            <w:hideMark/>
          </w:tcPr>
          <w:p w14:paraId="18F9D6ED" w14:textId="77777777" w:rsidR="008969AB" w:rsidRDefault="008969AB" w:rsidP="00201AB8">
            <w:pPr>
              <w:jc w:val="right"/>
              <w:rPr>
                <w:b/>
                <w:bCs/>
                <w:sz w:val="18"/>
                <w:szCs w:val="18"/>
              </w:rPr>
            </w:pPr>
            <w:r>
              <w:rPr>
                <w:b/>
                <w:bCs/>
                <w:sz w:val="18"/>
                <w:szCs w:val="18"/>
              </w:rPr>
              <w:t>-1 926,7</w:t>
            </w:r>
          </w:p>
        </w:tc>
        <w:tc>
          <w:tcPr>
            <w:tcW w:w="1222" w:type="dxa"/>
            <w:tcBorders>
              <w:top w:val="single" w:sz="4" w:space="0" w:color="auto"/>
              <w:left w:val="nil"/>
              <w:bottom w:val="single" w:sz="4" w:space="0" w:color="auto"/>
              <w:right w:val="nil"/>
            </w:tcBorders>
            <w:shd w:val="clear" w:color="auto" w:fill="auto"/>
            <w:noWrap/>
            <w:vAlign w:val="bottom"/>
            <w:hideMark/>
          </w:tcPr>
          <w:p w14:paraId="43B6FC18" w14:textId="77777777" w:rsidR="008969AB" w:rsidRDefault="008969AB" w:rsidP="00201AB8">
            <w:pPr>
              <w:jc w:val="right"/>
              <w:rPr>
                <w:b/>
                <w:bCs/>
                <w:color w:val="000000"/>
                <w:sz w:val="18"/>
                <w:szCs w:val="18"/>
              </w:rPr>
            </w:pPr>
            <w:r>
              <w:rPr>
                <w:b/>
                <w:bCs/>
                <w:color w:val="000000"/>
                <w:sz w:val="18"/>
                <w:szCs w:val="18"/>
              </w:rPr>
              <w:t>-1 477,6</w:t>
            </w:r>
          </w:p>
        </w:tc>
        <w:tc>
          <w:tcPr>
            <w:tcW w:w="1199" w:type="dxa"/>
            <w:tcBorders>
              <w:top w:val="single" w:sz="4" w:space="0" w:color="auto"/>
              <w:left w:val="nil"/>
              <w:bottom w:val="single" w:sz="4" w:space="0" w:color="auto"/>
              <w:right w:val="nil"/>
            </w:tcBorders>
            <w:shd w:val="clear" w:color="auto" w:fill="auto"/>
            <w:noWrap/>
            <w:vAlign w:val="bottom"/>
            <w:hideMark/>
          </w:tcPr>
          <w:p w14:paraId="5DF1EED2" w14:textId="77777777" w:rsidR="008969AB" w:rsidRDefault="008969AB" w:rsidP="00201AB8">
            <w:pPr>
              <w:jc w:val="right"/>
              <w:rPr>
                <w:b/>
                <w:bCs/>
                <w:color w:val="000000"/>
                <w:sz w:val="18"/>
                <w:szCs w:val="18"/>
              </w:rPr>
            </w:pPr>
            <w:r>
              <w:rPr>
                <w:b/>
                <w:bCs/>
                <w:color w:val="000000"/>
                <w:sz w:val="18"/>
                <w:szCs w:val="18"/>
              </w:rPr>
              <w:t>-449,1</w:t>
            </w:r>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14:paraId="2563E0C8" w14:textId="77777777" w:rsidR="008969AB" w:rsidRDefault="008969AB" w:rsidP="00201AB8">
            <w:pPr>
              <w:rPr>
                <w:b/>
                <w:bCs/>
                <w:sz w:val="18"/>
                <w:szCs w:val="18"/>
              </w:rPr>
            </w:pPr>
            <w:r>
              <w:rPr>
                <w:b/>
                <w:bCs/>
                <w:sz w:val="18"/>
                <w:szCs w:val="18"/>
              </w:rPr>
              <w:t> </w:t>
            </w:r>
          </w:p>
        </w:tc>
      </w:tr>
    </w:tbl>
    <w:p w14:paraId="0A0A21D1" w14:textId="77777777" w:rsidR="008969AB" w:rsidRPr="00BB329E" w:rsidRDefault="008969AB" w:rsidP="008969AB">
      <w:pPr>
        <w:spacing w:before="120"/>
        <w:rPr>
          <w:b/>
          <w:i/>
          <w:color w:val="0070C0"/>
          <w:sz w:val="22"/>
          <w:szCs w:val="22"/>
        </w:rPr>
      </w:pPr>
    </w:p>
    <w:p w14:paraId="41BFFEF4" w14:textId="0DFCBD1A" w:rsidR="008969AB" w:rsidRPr="00716094" w:rsidRDefault="008969AB" w:rsidP="008969AB">
      <w:pPr>
        <w:numPr>
          <w:ilvl w:val="1"/>
          <w:numId w:val="9"/>
        </w:numPr>
        <w:tabs>
          <w:tab w:val="num" w:pos="426"/>
        </w:tabs>
        <w:ind w:left="0" w:firstLine="0"/>
        <w:jc w:val="both"/>
        <w:rPr>
          <w:rFonts w:eastAsia="Calibri"/>
          <w:color w:val="0070C0"/>
        </w:rPr>
      </w:pPr>
      <w:r w:rsidRPr="00CB3FE1">
        <w:rPr>
          <w:b/>
        </w:rPr>
        <w:t>Приходите, помощите и даренията по консолидираната фискална програма</w:t>
      </w:r>
      <w:r w:rsidRPr="00CB3FE1">
        <w:t xml:space="preserve"> (КФП) за</w:t>
      </w:r>
      <w:r w:rsidRPr="00CB3FE1">
        <w:rPr>
          <w:b/>
        </w:rPr>
        <w:t xml:space="preserve"> </w:t>
      </w:r>
      <w:r w:rsidRPr="00CB3FE1">
        <w:t xml:space="preserve">първото тримесечие на 2025 г. са в размер на </w:t>
      </w:r>
      <w:r w:rsidRPr="00CB3FE1">
        <w:rPr>
          <w:b/>
          <w:bCs/>
          <w:lang w:val="ru-RU"/>
        </w:rPr>
        <w:t>16 834,3</w:t>
      </w:r>
      <w:r w:rsidRPr="00CB3FE1">
        <w:rPr>
          <w:b/>
          <w:bCs/>
        </w:rPr>
        <w:t> </w:t>
      </w:r>
      <w:r w:rsidRPr="00CB3FE1">
        <w:rPr>
          <w:b/>
          <w:bCs/>
          <w:lang w:eastAsia="bg-BG"/>
        </w:rPr>
        <w:t>млн. лв</w:t>
      </w:r>
      <w:r w:rsidRPr="00CB3FE1">
        <w:rPr>
          <w:bCs/>
          <w:lang w:eastAsia="bg-BG"/>
        </w:rPr>
        <w:t>.</w:t>
      </w:r>
      <w:r w:rsidRPr="00CB3FE1">
        <w:rPr>
          <w:b/>
          <w:bCs/>
          <w:lang w:eastAsia="bg-BG"/>
        </w:rPr>
        <w:t>, което представлява 18,6 % от разчетите към ЗДБРБ за 2025 година.</w:t>
      </w:r>
      <w:r w:rsidRPr="00CB3FE1">
        <w:rPr>
          <w:bCs/>
          <w:lang w:eastAsia="bg-BG"/>
        </w:rPr>
        <w:t xml:space="preserve"> </w:t>
      </w:r>
      <w:r w:rsidRPr="001F3601">
        <w:t xml:space="preserve">Постъпленията нарастват с 1 076,5 млн. лв. (6,8 %) спрямо отчетените за първите три месеца на 2024 година. </w:t>
      </w:r>
      <w:r w:rsidRPr="001F3601">
        <w:rPr>
          <w:rFonts w:eastAsia="Calibri"/>
        </w:rPr>
        <w:t xml:space="preserve">За този ръст принос имат най-вече данъчните приходи, които нарастват c </w:t>
      </w:r>
      <w:r w:rsidRPr="001E0BCF">
        <w:rPr>
          <w:rFonts w:eastAsia="Calibri"/>
        </w:rPr>
        <w:t>13,3 % (1 598,4 млн. лв.). Неданъчните приходи са близки до отчетените за същия период на</w:t>
      </w:r>
      <w:r w:rsidRPr="001F3601">
        <w:rPr>
          <w:rFonts w:eastAsia="Calibri"/>
        </w:rPr>
        <w:t xml:space="preserve"> 2024 г., а постъпленията в частта на помощите и даренията са по-малко с </w:t>
      </w:r>
      <w:r w:rsidR="00436C1D">
        <w:rPr>
          <w:rFonts w:eastAsia="Calibri"/>
        </w:rPr>
        <w:t>659,0</w:t>
      </w:r>
      <w:r w:rsidRPr="001F3601">
        <w:rPr>
          <w:rFonts w:eastAsia="Calibri"/>
        </w:rPr>
        <w:t xml:space="preserve"> мл</w:t>
      </w:r>
      <w:r w:rsidR="00436C1D">
        <w:rPr>
          <w:rFonts w:eastAsia="Calibri"/>
        </w:rPr>
        <w:t>н</w:t>
      </w:r>
      <w:r w:rsidRPr="001F3601">
        <w:rPr>
          <w:rFonts w:eastAsia="Calibri"/>
        </w:rPr>
        <w:t>. лева</w:t>
      </w:r>
      <w:r w:rsidRPr="00716094">
        <w:rPr>
          <w:rFonts w:eastAsia="Calibri"/>
          <w:color w:val="0070C0"/>
        </w:rPr>
        <w:t>.</w:t>
      </w:r>
    </w:p>
    <w:p w14:paraId="7DA4C109" w14:textId="77777777" w:rsidR="008969AB" w:rsidRPr="0083699F" w:rsidRDefault="008969AB" w:rsidP="008969AB">
      <w:pPr>
        <w:spacing w:before="120"/>
        <w:jc w:val="both"/>
      </w:pPr>
      <w:r w:rsidRPr="0083699F">
        <w:t>Общата сума</w:t>
      </w:r>
      <w:r w:rsidRPr="0083699F">
        <w:rPr>
          <w:b/>
        </w:rPr>
        <w:t xml:space="preserve"> </w:t>
      </w:r>
      <w:r w:rsidRPr="0083699F">
        <w:t>на</w:t>
      </w:r>
      <w:r w:rsidRPr="0083699F">
        <w:rPr>
          <w:b/>
        </w:rPr>
        <w:t xml:space="preserve"> </w:t>
      </w:r>
      <w:r w:rsidRPr="0083699F">
        <w:rPr>
          <w:b/>
          <w:i/>
        </w:rPr>
        <w:t>данъчните постъпления</w:t>
      </w:r>
      <w:r w:rsidRPr="0083699F">
        <w:t xml:space="preserve"> (вкл. приходите от осигурителни вноски) е в размер на </w:t>
      </w:r>
      <w:r w:rsidRPr="0083699F">
        <w:rPr>
          <w:b/>
          <w:bCs/>
          <w:i/>
        </w:rPr>
        <w:t xml:space="preserve">13 625,5 </w:t>
      </w:r>
      <w:r w:rsidRPr="0083699F">
        <w:rPr>
          <w:b/>
          <w:i/>
        </w:rPr>
        <w:t xml:space="preserve">млн. лв.,  </w:t>
      </w:r>
      <w:r w:rsidRPr="0083699F">
        <w:t xml:space="preserve">което представлява 19,2 % от разчетените за годината и формират 80,9 % от общите постъпления по КФП за периода. </w:t>
      </w:r>
    </w:p>
    <w:p w14:paraId="348E73C7" w14:textId="219F5698" w:rsidR="008969AB" w:rsidRPr="00E667F3" w:rsidRDefault="008969AB" w:rsidP="008969AB">
      <w:pPr>
        <w:spacing w:before="120"/>
        <w:jc w:val="both"/>
        <w:rPr>
          <w:color w:val="0070C0"/>
        </w:rPr>
      </w:pPr>
      <w:r w:rsidRPr="00E667F3">
        <w:t xml:space="preserve">Приходите в частта на </w:t>
      </w:r>
      <w:r w:rsidRPr="00E667F3">
        <w:rPr>
          <w:i/>
        </w:rPr>
        <w:t xml:space="preserve">преките данъци </w:t>
      </w:r>
      <w:r w:rsidRPr="00E667F3">
        <w:t xml:space="preserve">възлизат на 1 848,7 млн. лв., което представлява 12,6 % </w:t>
      </w:r>
      <w:r w:rsidR="00330207">
        <w:t>от разчета за 2025 г. и ръст с</w:t>
      </w:r>
      <w:r w:rsidRPr="00E667F3">
        <w:t xml:space="preserve"> 271,5</w:t>
      </w:r>
      <w:r w:rsidRPr="00E667F3">
        <w:rPr>
          <w:rFonts w:eastAsia="Calibri"/>
        </w:rPr>
        <w:t xml:space="preserve"> млн. лв. </w:t>
      </w:r>
      <w:r w:rsidRPr="00E667F3">
        <w:rPr>
          <w:rFonts w:eastAsia="Calibri"/>
          <w:lang w:val="ru-RU"/>
        </w:rPr>
        <w:t>(</w:t>
      </w:r>
      <w:r w:rsidRPr="00E667F3">
        <w:rPr>
          <w:rFonts w:eastAsia="Calibri"/>
        </w:rPr>
        <w:t>17,2 %</w:t>
      </w:r>
      <w:r w:rsidRPr="00E667F3">
        <w:rPr>
          <w:rFonts w:eastAsia="Calibri"/>
          <w:lang w:val="ru-RU"/>
        </w:rPr>
        <w:t xml:space="preserve">) спрямо </w:t>
      </w:r>
      <w:r w:rsidRPr="00E667F3">
        <w:t xml:space="preserve">отчетените към март 2024 г. Приходите от </w:t>
      </w:r>
      <w:r w:rsidRPr="00E667F3">
        <w:rPr>
          <w:i/>
        </w:rPr>
        <w:t>косвени данъци</w:t>
      </w:r>
      <w:r w:rsidRPr="00E667F3">
        <w:t xml:space="preserve"> са в размер на 6 366,7 </w:t>
      </w:r>
      <w:r w:rsidRPr="00E667F3">
        <w:rPr>
          <w:rFonts w:eastAsia="Calibri"/>
          <w:bCs/>
          <w:iCs/>
        </w:rPr>
        <w:t>млн. лв.</w:t>
      </w:r>
      <w:r w:rsidRPr="00E667F3">
        <w:rPr>
          <w:rFonts w:eastAsia="Calibri"/>
        </w:rPr>
        <w:t>, което представлява 19,3</w:t>
      </w:r>
      <w:r w:rsidRPr="00E667F3">
        <w:rPr>
          <w:rFonts w:eastAsia="Calibri"/>
          <w:lang w:val="en-US"/>
        </w:rPr>
        <w:t> </w:t>
      </w:r>
      <w:r w:rsidRPr="00E667F3">
        <w:rPr>
          <w:rFonts w:eastAsia="Calibri"/>
        </w:rPr>
        <w:t xml:space="preserve">% от предвидените в ЗДБРБ за 2025 г. </w:t>
      </w:r>
      <w:r w:rsidRPr="00E667F3">
        <w:t xml:space="preserve">и ръст от 729,2 млн. лв., 12,9 % спрямо отчетените към март 2024 г. </w:t>
      </w:r>
      <w:r w:rsidRPr="00E667F3">
        <w:rPr>
          <w:lang w:val="en-US"/>
        </w:rPr>
        <w:t>(</w:t>
      </w:r>
      <w:r w:rsidRPr="00E667F3">
        <w:t xml:space="preserve">основно поради ръст на приходите от ДДС). Постъпленията от </w:t>
      </w:r>
      <w:r w:rsidRPr="00E667F3">
        <w:rPr>
          <w:i/>
        </w:rPr>
        <w:t>други данъци</w:t>
      </w:r>
      <w:r w:rsidRPr="00E667F3">
        <w:t xml:space="preserve"> (включват други данъци по ЗКПО, имуществени и др. данъци) са в размер на </w:t>
      </w:r>
      <w:r w:rsidRPr="00E667F3">
        <w:rPr>
          <w:lang w:val="ru-RU"/>
        </w:rPr>
        <w:t>781,4</w:t>
      </w:r>
      <w:r w:rsidRPr="00E667F3">
        <w:t> млн. лв., което представлява 34,3 % от годишния разчет и ръст спрямо отчетените към март 2024 г. от 134,6 млн. лв</w:t>
      </w:r>
      <w:r w:rsidR="00E739A6">
        <w:t xml:space="preserve">. </w:t>
      </w:r>
      <w:r w:rsidRPr="00E667F3">
        <w:rPr>
          <w:lang w:val="en-US"/>
        </w:rPr>
        <w:t>(</w:t>
      </w:r>
      <w:r w:rsidRPr="00E667F3">
        <w:t>20,8</w:t>
      </w:r>
      <w:r w:rsidRPr="00E667F3">
        <w:rPr>
          <w:lang w:val="en-US"/>
        </w:rPr>
        <w:t xml:space="preserve"> %).</w:t>
      </w:r>
      <w:r w:rsidRPr="00E667F3">
        <w:t xml:space="preserve"> Приходите от </w:t>
      </w:r>
      <w:r w:rsidRPr="00E667F3">
        <w:rPr>
          <w:i/>
        </w:rPr>
        <w:t>социални и здравноосигурителни вноски</w:t>
      </w:r>
      <w:r w:rsidRPr="00E667F3">
        <w:t xml:space="preserve"> са в размер на 4 628,7 млн. лв. </w:t>
      </w:r>
      <w:r w:rsidRPr="00E667F3">
        <w:rPr>
          <w:rFonts w:eastAsia="Calibri"/>
          <w:bCs/>
          <w:iCs/>
        </w:rPr>
        <w:t>или 22,1 % от разчета за 2025 г. и ръст от 463,1 млн. лв. (11,1 %) спрямо отчетените за същия период на 2024 година</w:t>
      </w:r>
      <w:r w:rsidRPr="00E667F3">
        <w:rPr>
          <w:color w:val="0070C0"/>
        </w:rPr>
        <w:t xml:space="preserve">. </w:t>
      </w:r>
    </w:p>
    <w:p w14:paraId="57FC565C" w14:textId="77777777" w:rsidR="008969AB" w:rsidRPr="00716094" w:rsidRDefault="008969AB" w:rsidP="008969AB">
      <w:pPr>
        <w:spacing w:before="120"/>
        <w:jc w:val="both"/>
        <w:rPr>
          <w:color w:val="0070C0"/>
        </w:rPr>
      </w:pPr>
      <w:r w:rsidRPr="003D428B">
        <w:rPr>
          <w:b/>
          <w:bCs/>
          <w:i/>
          <w:iCs/>
        </w:rPr>
        <w:t>Неданъчните приходи</w:t>
      </w:r>
      <w:r w:rsidRPr="003D428B">
        <w:rPr>
          <w:b/>
          <w:bCs/>
          <w:iCs/>
        </w:rPr>
        <w:t xml:space="preserve"> </w:t>
      </w:r>
      <w:r w:rsidRPr="003D428B">
        <w:t xml:space="preserve">са в размер на </w:t>
      </w:r>
      <w:r w:rsidRPr="003D428B">
        <w:rPr>
          <w:b/>
          <w:i/>
        </w:rPr>
        <w:t xml:space="preserve">2 458,9 </w:t>
      </w:r>
      <w:r w:rsidRPr="003D428B">
        <w:rPr>
          <w:b/>
          <w:bCs/>
          <w:i/>
        </w:rPr>
        <w:t xml:space="preserve">млн. лв., </w:t>
      </w:r>
      <w:r w:rsidRPr="003D428B">
        <w:rPr>
          <w:rFonts w:eastAsia="Calibri"/>
          <w:bCs/>
        </w:rPr>
        <w:t>което представлява 20,5 % от годишните разчети</w:t>
      </w:r>
      <w:r w:rsidRPr="003D428B">
        <w:rPr>
          <w:b/>
          <w:bCs/>
          <w:i/>
        </w:rPr>
        <w:t xml:space="preserve"> </w:t>
      </w:r>
      <w:r w:rsidRPr="003D428B">
        <w:rPr>
          <w:rFonts w:eastAsia="Calibri"/>
        </w:rPr>
        <w:t>и ръст от 137,1 млн. лв., 5,9 % спрямо същия период на</w:t>
      </w:r>
      <w:r w:rsidRPr="003D428B">
        <w:t xml:space="preserve"> 2024 г.</w:t>
      </w:r>
      <w:r w:rsidRPr="003D428B">
        <w:rPr>
          <w:rFonts w:eastAsia="Calibri"/>
        </w:rPr>
        <w:t xml:space="preserve"> </w:t>
      </w:r>
      <w:r w:rsidRPr="00F02B75">
        <w:rPr>
          <w:rFonts w:eastAsia="Calibri"/>
        </w:rPr>
        <w:t xml:space="preserve">Тези </w:t>
      </w:r>
      <w:r w:rsidRPr="00D92C03">
        <w:rPr>
          <w:rFonts w:eastAsia="Calibri"/>
        </w:rPr>
        <w:t xml:space="preserve">приходи </w:t>
      </w:r>
      <w:r w:rsidRPr="00D92C03">
        <w:rPr>
          <w:rFonts w:eastAsia="Calibri"/>
          <w:bCs/>
        </w:rPr>
        <w:t>се формират основно от приходи от държавни, общински и съдебни такси, приходи и доходи от собственост, приходи от концесии, приходи от продажба на квоти за емисии на парникови газове и други</w:t>
      </w:r>
      <w:r w:rsidRPr="00716094">
        <w:rPr>
          <w:rFonts w:eastAsia="Calibri"/>
          <w:color w:val="0070C0"/>
        </w:rPr>
        <w:t>.</w:t>
      </w:r>
      <w:r w:rsidRPr="00716094">
        <w:rPr>
          <w:color w:val="0070C0"/>
        </w:rPr>
        <w:t xml:space="preserve"> </w:t>
      </w:r>
    </w:p>
    <w:p w14:paraId="0689E2B0" w14:textId="77777777" w:rsidR="008969AB" w:rsidRPr="004A3901" w:rsidRDefault="008969AB" w:rsidP="008969AB">
      <w:pPr>
        <w:spacing w:before="120" w:after="120"/>
        <w:jc w:val="both"/>
      </w:pPr>
      <w:r w:rsidRPr="004A3901">
        <w:t xml:space="preserve">Постъпленията от </w:t>
      </w:r>
      <w:r w:rsidRPr="004A3901">
        <w:rPr>
          <w:b/>
          <w:i/>
        </w:rPr>
        <w:t>помощи</w:t>
      </w:r>
      <w:r w:rsidRPr="004A3901">
        <w:t xml:space="preserve"> </w:t>
      </w:r>
      <w:r w:rsidRPr="004A3901">
        <w:rPr>
          <w:b/>
          <w:i/>
        </w:rPr>
        <w:t xml:space="preserve">и дарения </w:t>
      </w:r>
      <w:r w:rsidRPr="004A3901">
        <w:t>от страната и чужбина (основно помощи от фондовете на ЕС) към март 202</w:t>
      </w:r>
      <w:r>
        <w:t>5</w:t>
      </w:r>
      <w:r w:rsidRPr="004A3901">
        <w:t xml:space="preserve"> г. са в размер на </w:t>
      </w:r>
      <w:r w:rsidRPr="004A3901">
        <w:rPr>
          <w:b/>
          <w:i/>
        </w:rPr>
        <w:t>749,9 млн. лв</w:t>
      </w:r>
      <w:r w:rsidRPr="004A3901">
        <w:t>., в т. ч. постъпили през месец януари средства в размер на 348,6 млн. лв. по бюджета на Министерството на отбраната по споразумения с Министерството на отбраната на Кралство Дания за сътрудничество в областта на материалните ресурси за отбрана.</w:t>
      </w:r>
    </w:p>
    <w:p w14:paraId="72CA368D" w14:textId="77777777" w:rsidR="008969AB" w:rsidRPr="00AB0993" w:rsidRDefault="008969AB" w:rsidP="008969AB">
      <w:pPr>
        <w:spacing w:before="120" w:after="120"/>
        <w:jc w:val="both"/>
        <w:rPr>
          <w:color w:val="0070C0"/>
          <w:sz w:val="12"/>
        </w:rPr>
      </w:pPr>
    </w:p>
    <w:p w14:paraId="529BBD67" w14:textId="77777777" w:rsidR="008969AB" w:rsidRPr="00AB0993" w:rsidRDefault="008969AB" w:rsidP="008969AB">
      <w:pPr>
        <w:spacing w:before="120" w:after="120"/>
        <w:jc w:val="both"/>
        <w:rPr>
          <w:color w:val="0070C0"/>
          <w:sz w:val="12"/>
        </w:rPr>
      </w:pPr>
      <w:r w:rsidRPr="00AB0993">
        <w:rPr>
          <w:rFonts w:eastAsia="Calibri"/>
          <w:noProof/>
          <w:color w:val="0070C0"/>
          <w:lang w:eastAsia="bg-BG"/>
        </w:rPr>
        <w:drawing>
          <wp:inline distT="0" distB="0" distL="0" distR="0" wp14:anchorId="2E2D5417" wp14:editId="1BFFC0C3">
            <wp:extent cx="5842000" cy="2362200"/>
            <wp:effectExtent l="0" t="0" r="6350" b="0"/>
            <wp:docPr id="2" name="Char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BBDEDC3" w14:textId="77777777" w:rsidR="008969AB" w:rsidRPr="00716094" w:rsidRDefault="008969AB" w:rsidP="008969AB">
      <w:pPr>
        <w:spacing w:before="120" w:after="120"/>
        <w:jc w:val="both"/>
        <w:rPr>
          <w:color w:val="0070C0"/>
          <w:sz w:val="14"/>
        </w:rPr>
      </w:pPr>
    </w:p>
    <w:p w14:paraId="0057276A" w14:textId="77777777" w:rsidR="008969AB" w:rsidRPr="0023122C" w:rsidRDefault="008969AB" w:rsidP="008969AB">
      <w:pPr>
        <w:jc w:val="both"/>
        <w:rPr>
          <w:lang w:val="ru-RU"/>
        </w:rPr>
      </w:pPr>
      <w:r w:rsidRPr="007F6E65">
        <w:rPr>
          <w:rFonts w:eastAsia="Calibri"/>
          <w:b/>
        </w:rPr>
        <w:t>Разходите</w:t>
      </w:r>
      <w:r w:rsidRPr="007F6E65">
        <w:rPr>
          <w:rFonts w:eastAsia="Calibri"/>
        </w:rPr>
        <w:t xml:space="preserve"> по КФП (вкл. вноската в бюджета на ЕС) към март 202</w:t>
      </w:r>
      <w:r w:rsidRPr="007F6E65">
        <w:rPr>
          <w:rFonts w:eastAsia="Calibri"/>
          <w:lang w:val="ru-RU"/>
        </w:rPr>
        <w:t>5</w:t>
      </w:r>
      <w:r w:rsidRPr="007F6E65">
        <w:rPr>
          <w:rFonts w:eastAsia="Calibri"/>
        </w:rPr>
        <w:t xml:space="preserve"> г. </w:t>
      </w:r>
      <w:r w:rsidRPr="006658F6">
        <w:rPr>
          <w:rFonts w:eastAsia="Calibri"/>
        </w:rPr>
        <w:t xml:space="preserve">възлизат на </w:t>
      </w:r>
      <w:r w:rsidRPr="006658F6">
        <w:rPr>
          <w:rFonts w:eastAsia="Calibri"/>
          <w:b/>
          <w:lang w:val="ru-RU"/>
        </w:rPr>
        <w:t>18 761,0</w:t>
      </w:r>
      <w:r>
        <w:rPr>
          <w:rFonts w:eastAsia="Calibri"/>
          <w:b/>
        </w:rPr>
        <w:t> </w:t>
      </w:r>
      <w:r w:rsidRPr="006658F6">
        <w:rPr>
          <w:rFonts w:eastAsia="Calibri"/>
          <w:b/>
        </w:rPr>
        <w:t xml:space="preserve">млн. лв., </w:t>
      </w:r>
      <w:r w:rsidRPr="006658F6">
        <w:rPr>
          <w:rFonts w:eastAsia="Calibri"/>
        </w:rPr>
        <w:t>което е 19,4 % от годишните разчети</w:t>
      </w:r>
      <w:r w:rsidRPr="006658F6">
        <w:rPr>
          <w:rFonts w:eastAsia="Calibri"/>
          <w:b/>
        </w:rPr>
        <w:t xml:space="preserve">. </w:t>
      </w:r>
      <w:r w:rsidRPr="006658F6">
        <w:rPr>
          <w:rFonts w:eastAsia="Calibri"/>
          <w:lang w:val="ru-RU"/>
        </w:rPr>
        <w:t xml:space="preserve">За сравнение, разходите по КФП за първите </w:t>
      </w:r>
      <w:r w:rsidRPr="006658F6">
        <w:rPr>
          <w:rFonts w:eastAsia="Calibri"/>
        </w:rPr>
        <w:t>три</w:t>
      </w:r>
      <w:r w:rsidRPr="006658F6">
        <w:rPr>
          <w:rFonts w:eastAsia="Calibri"/>
          <w:lang w:val="ru-RU"/>
        </w:rPr>
        <w:t xml:space="preserve"> месеца на 2024</w:t>
      </w:r>
      <w:r w:rsidRPr="006658F6">
        <w:rPr>
          <w:rFonts w:eastAsia="Calibri"/>
          <w:lang w:val="en-US"/>
        </w:rPr>
        <w:t> </w:t>
      </w:r>
      <w:r w:rsidRPr="006658F6">
        <w:rPr>
          <w:rFonts w:eastAsia="Calibri"/>
          <w:lang w:val="ru-RU"/>
        </w:rPr>
        <w:t xml:space="preserve">г. бяха в размер на 15 356,8 </w:t>
      </w:r>
      <w:r w:rsidRPr="006658F6">
        <w:rPr>
          <w:rFonts w:eastAsia="Calibri"/>
        </w:rPr>
        <w:t>млн. лв</w:t>
      </w:r>
      <w:r>
        <w:rPr>
          <w:rFonts w:eastAsia="Calibri"/>
        </w:rPr>
        <w:t>.</w:t>
      </w:r>
      <w:r w:rsidRPr="006658F6">
        <w:rPr>
          <w:rFonts w:eastAsia="Calibri"/>
          <w:lang w:val="ru-RU"/>
        </w:rPr>
        <w:t>, като следва да бъде взето предвид, че през месец февруари 2024 г. има отчетена трансакция по възстановяване на разходи от сметка за чужди средства на Министерството на регионалното развитие и благоустройството (МРРБ) обратно към бюджета на министерството</w:t>
      </w:r>
      <w:r w:rsidRPr="006658F6">
        <w:rPr>
          <w:rStyle w:val="FootnoteReference"/>
          <w:rFonts w:eastAsia="Calibri"/>
          <w:lang w:val="ru-RU"/>
        </w:rPr>
        <w:footnoteReference w:id="6"/>
      </w:r>
      <w:r w:rsidRPr="006658F6">
        <w:rPr>
          <w:rFonts w:eastAsia="Calibri"/>
          <w:lang w:val="ru-RU"/>
        </w:rPr>
        <w:t xml:space="preserve"> в размер на </w:t>
      </w:r>
      <w:r w:rsidRPr="008E60F3">
        <w:rPr>
          <w:rFonts w:eastAsia="Calibri"/>
          <w:lang w:val="ru-RU"/>
        </w:rPr>
        <w:t xml:space="preserve">1 200,0 млн. лв. Поради тази причина в касовия отчет към края на март 2024 г. капиталовите разходи по КФП са отрицателни в размер на 259,3 млн. лв. </w:t>
      </w:r>
      <w:r w:rsidRPr="0023122C">
        <w:rPr>
          <w:rFonts w:eastAsia="Calibri"/>
          <w:lang w:val="ru-RU"/>
        </w:rPr>
        <w:t>При елиминирането на тази трансакция, с оглед съпоставимост, разходите към края на март 2025</w:t>
      </w:r>
      <w:r>
        <w:rPr>
          <w:rFonts w:eastAsia="Calibri"/>
          <w:lang w:val="ru-RU"/>
        </w:rPr>
        <w:t> </w:t>
      </w:r>
      <w:r w:rsidRPr="0023122C">
        <w:rPr>
          <w:rFonts w:eastAsia="Calibri"/>
          <w:lang w:val="ru-RU"/>
        </w:rPr>
        <w:t xml:space="preserve">г. нарастват с </w:t>
      </w:r>
      <w:r w:rsidRPr="007C5FA7">
        <w:rPr>
          <w:rFonts w:eastAsia="Calibri"/>
          <w:lang w:val="ru-RU"/>
        </w:rPr>
        <w:t xml:space="preserve">2 204,2 млн. лв. (13,3 %). </w:t>
      </w:r>
      <w:r w:rsidRPr="007C5FA7">
        <w:t>Нарастване на разходите има в частта основно на социалните плащания, вкл. разходите за пенсии, както и при разходите за персонал, субсидии, капиталовите разходи и други.</w:t>
      </w:r>
      <w:r w:rsidRPr="0023122C">
        <w:rPr>
          <w:lang w:val="ru-RU"/>
        </w:rPr>
        <w:t xml:space="preserve">  </w:t>
      </w:r>
    </w:p>
    <w:p w14:paraId="2A8FAB42" w14:textId="77777777" w:rsidR="008969AB" w:rsidRPr="00AB0993" w:rsidRDefault="008969AB" w:rsidP="008969AB">
      <w:pPr>
        <w:spacing w:before="120" w:after="120"/>
        <w:jc w:val="both"/>
        <w:rPr>
          <w:color w:val="0070C0"/>
        </w:rPr>
      </w:pPr>
      <w:r w:rsidRPr="004B7E0D">
        <w:rPr>
          <w:b/>
          <w:i/>
        </w:rPr>
        <w:t>Нелихвените разходи</w:t>
      </w:r>
      <w:r w:rsidRPr="004B7E0D">
        <w:t xml:space="preserve"> към март 2025 г. са в размер на 17 841,7 млн. лв.</w:t>
      </w:r>
      <w:r w:rsidRPr="004B7E0D">
        <w:rPr>
          <w:rFonts w:eastAsia="Calibri"/>
          <w:bCs/>
        </w:rPr>
        <w:t xml:space="preserve">, което представлява </w:t>
      </w:r>
      <w:r w:rsidRPr="00D501FA">
        <w:rPr>
          <w:rFonts w:eastAsia="Calibri"/>
          <w:bCs/>
        </w:rPr>
        <w:t>19,3</w:t>
      </w:r>
      <w:r w:rsidR="00F05B65">
        <w:rPr>
          <w:rFonts w:eastAsia="Calibri"/>
          <w:bCs/>
        </w:rPr>
        <w:t> </w:t>
      </w:r>
      <w:r w:rsidRPr="00D501FA">
        <w:rPr>
          <w:rFonts w:eastAsia="Calibri"/>
          <w:bCs/>
        </w:rPr>
        <w:t xml:space="preserve">% от годишния разчет </w:t>
      </w:r>
      <w:r w:rsidRPr="00D501FA">
        <w:t>и ръст на съпоставима база с 1</w:t>
      </w:r>
      <w:r>
        <w:t> 961,9</w:t>
      </w:r>
      <w:r w:rsidRPr="00D501FA">
        <w:t xml:space="preserve"> млн. лв. (12,4 %) спрямо отчетените към март 2024 г. </w:t>
      </w:r>
      <w:r w:rsidRPr="00D501FA">
        <w:rPr>
          <w:i/>
        </w:rPr>
        <w:t>Текущите нелихвени разходи</w:t>
      </w:r>
      <w:r w:rsidRPr="00D501FA">
        <w:t xml:space="preserve"> са в размер на 16 807,4 млн. лв. </w:t>
      </w:r>
      <w:r w:rsidRPr="00D501FA">
        <w:rPr>
          <w:i/>
        </w:rPr>
        <w:t>Капиталовите разходи</w:t>
      </w:r>
      <w:r w:rsidRPr="00D501FA">
        <w:t xml:space="preserve"> (вкл. нетния прираст на държавния резерв) възлизат на 1 017,8 млн. лв. </w:t>
      </w:r>
      <w:r w:rsidRPr="00D501FA">
        <w:rPr>
          <w:i/>
        </w:rPr>
        <w:t>Предоставените текущи и капиталови трансфери за чужбина</w:t>
      </w:r>
      <w:r w:rsidRPr="00D501FA">
        <w:t xml:space="preserve"> са в размер на 16,5 млн. лв. </w:t>
      </w:r>
      <w:r w:rsidRPr="00D501FA">
        <w:rPr>
          <w:b/>
          <w:i/>
        </w:rPr>
        <w:t>Лихвените плащания</w:t>
      </w:r>
      <w:r w:rsidRPr="00D501FA">
        <w:t xml:space="preserve"> са в размер на 411,0 млн. лв. </w:t>
      </w:r>
      <w:r w:rsidRPr="00D501FA">
        <w:rPr>
          <w:bCs/>
        </w:rPr>
        <w:t>(25,3 % от планираните за годината и ръст от 73,4 млн. лв. спрямо същия период на 2024 г.)</w:t>
      </w:r>
      <w:r w:rsidRPr="00D501FA">
        <w:t>.</w:t>
      </w:r>
    </w:p>
    <w:p w14:paraId="64A9BAB9" w14:textId="77777777" w:rsidR="008969AB" w:rsidRPr="00416EDE" w:rsidRDefault="008969AB" w:rsidP="008969AB">
      <w:pPr>
        <w:spacing w:before="120"/>
        <w:jc w:val="both"/>
      </w:pPr>
      <w:r w:rsidRPr="00416EDE">
        <w:t>Разходите по КФП по основните разходни групи към март 2024 г. и 2025 г. са представени на следната графика:</w:t>
      </w:r>
    </w:p>
    <w:p w14:paraId="5E6D38D3" w14:textId="77777777" w:rsidR="008969AB" w:rsidRPr="00AB0993" w:rsidRDefault="008969AB" w:rsidP="008969AB">
      <w:pPr>
        <w:spacing w:before="120"/>
        <w:jc w:val="both"/>
        <w:rPr>
          <w:color w:val="0070C0"/>
        </w:rPr>
      </w:pPr>
      <w:r w:rsidRPr="00AB0993">
        <w:rPr>
          <w:noProof/>
          <w:color w:val="0070C0"/>
          <w:lang w:eastAsia="bg-BG"/>
        </w:rPr>
        <w:drawing>
          <wp:inline distT="0" distB="0" distL="0" distR="0" wp14:anchorId="3D92BA7A" wp14:editId="4108B8A8">
            <wp:extent cx="6038850" cy="2726055"/>
            <wp:effectExtent l="0" t="0" r="0" b="17145"/>
            <wp:docPr id="5" name="Char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F29ECE4" w14:textId="77777777" w:rsidR="008969AB" w:rsidRPr="00F93112" w:rsidRDefault="008969AB" w:rsidP="008969AB">
      <w:pPr>
        <w:spacing w:before="120" w:after="120"/>
        <w:jc w:val="both"/>
        <w:rPr>
          <w:sz w:val="18"/>
          <w:szCs w:val="14"/>
        </w:rPr>
      </w:pPr>
      <w:bookmarkStart w:id="2" w:name="_MON_1549378791"/>
      <w:bookmarkStart w:id="3" w:name="_MON_1522508435"/>
      <w:bookmarkStart w:id="4" w:name="_MON_1522508500"/>
      <w:bookmarkStart w:id="5" w:name="_MON_1522508578"/>
      <w:bookmarkStart w:id="6" w:name="_MON_1522508396"/>
      <w:bookmarkStart w:id="7" w:name="_MON_1562166431"/>
      <w:bookmarkStart w:id="8" w:name="_MON_1562166533"/>
      <w:bookmarkStart w:id="9" w:name="_MON_1562166556"/>
      <w:bookmarkStart w:id="10" w:name="_MON_1562166578"/>
      <w:bookmarkStart w:id="11" w:name="_MON_1522569336"/>
      <w:bookmarkStart w:id="12" w:name="_MON_1541257307"/>
      <w:bookmarkStart w:id="13" w:name="_MON_1541257332"/>
      <w:bookmarkStart w:id="14" w:name="_MON_1522569451"/>
      <w:bookmarkStart w:id="15" w:name="_MON_1522569507"/>
      <w:bookmarkStart w:id="16" w:name="_MON_1549376308"/>
      <w:bookmarkStart w:id="17" w:name="_MON_1549378514"/>
      <w:bookmarkStart w:id="18" w:name="_MON_1549378678"/>
      <w:bookmarkStart w:id="19" w:name="_MON_154937872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F93112">
        <w:rPr>
          <w:sz w:val="18"/>
          <w:szCs w:val="14"/>
          <w:lang w:val="ru-RU"/>
        </w:rPr>
        <w:t xml:space="preserve">*  </w:t>
      </w:r>
      <w:r w:rsidRPr="00F93112">
        <w:rPr>
          <w:sz w:val="18"/>
          <w:szCs w:val="14"/>
        </w:rPr>
        <w:t>Вкл. нетния прираст на държавния резерв</w:t>
      </w:r>
    </w:p>
    <w:p w14:paraId="2671B26F" w14:textId="77777777" w:rsidR="008969AB" w:rsidRPr="00716094" w:rsidRDefault="008969AB" w:rsidP="008969AB">
      <w:pPr>
        <w:pStyle w:val="ListParagraph"/>
        <w:numPr>
          <w:ilvl w:val="0"/>
          <w:numId w:val="20"/>
        </w:numPr>
        <w:tabs>
          <w:tab w:val="left" w:pos="426"/>
        </w:tabs>
        <w:spacing w:line="240" w:lineRule="auto"/>
        <w:ind w:left="0" w:firstLine="0"/>
        <w:rPr>
          <w:color w:val="0070C0"/>
          <w:sz w:val="2"/>
        </w:rPr>
      </w:pPr>
    </w:p>
    <w:p w14:paraId="72D70A5D" w14:textId="77777777" w:rsidR="008969AB" w:rsidRPr="00716094" w:rsidRDefault="008969AB" w:rsidP="008969AB">
      <w:pPr>
        <w:spacing w:after="120"/>
        <w:jc w:val="both"/>
        <w:rPr>
          <w:color w:val="0070C0"/>
          <w:sz w:val="2"/>
        </w:rPr>
      </w:pPr>
    </w:p>
    <w:p w14:paraId="3EB57AE9" w14:textId="77777777" w:rsidR="008969AB" w:rsidRPr="009C5E89" w:rsidRDefault="008969AB" w:rsidP="008969AB">
      <w:pPr>
        <w:pStyle w:val="ListParagraph"/>
        <w:numPr>
          <w:ilvl w:val="0"/>
          <w:numId w:val="20"/>
        </w:numPr>
        <w:tabs>
          <w:tab w:val="left" w:pos="426"/>
        </w:tabs>
        <w:spacing w:before="240" w:line="240" w:lineRule="auto"/>
        <w:ind w:left="0" w:firstLine="0"/>
        <w:contextualSpacing w:val="0"/>
        <w:rPr>
          <w:rFonts w:ascii="Times New Roman" w:hAnsi="Times New Roman"/>
        </w:rPr>
      </w:pPr>
      <w:r w:rsidRPr="009C5E89">
        <w:rPr>
          <w:rFonts w:ascii="Times New Roman" w:hAnsi="Times New Roman"/>
          <w:b/>
        </w:rPr>
        <w:t>Частта от вноската на Република България в общия бюджет на ЕС</w:t>
      </w:r>
      <w:r w:rsidRPr="009C5E89">
        <w:rPr>
          <w:rFonts w:ascii="Times New Roman" w:hAnsi="Times New Roman"/>
        </w:rPr>
        <w:t>, изплатена 31.03.2025</w:t>
      </w:r>
      <w:r w:rsidRPr="009C5E89">
        <w:rPr>
          <w:rFonts w:ascii="Times New Roman" w:hAnsi="Times New Roman"/>
          <w:lang w:val="en-US"/>
        </w:rPr>
        <w:t> </w:t>
      </w:r>
      <w:r w:rsidRPr="009C5E89">
        <w:rPr>
          <w:rFonts w:ascii="Times New Roman" w:hAnsi="Times New Roman"/>
        </w:rPr>
        <w:t xml:space="preserve">г. </w:t>
      </w:r>
      <w:r w:rsidRPr="009C5E89">
        <w:rPr>
          <w:rFonts w:ascii="Times New Roman" w:hAnsi="Times New Roman"/>
          <w:bCs/>
        </w:rPr>
        <w:t xml:space="preserve">от централния бюджет, възлиза на </w:t>
      </w:r>
      <w:r w:rsidRPr="009C5E89">
        <w:rPr>
          <w:rFonts w:ascii="Times New Roman" w:eastAsia="Calibri" w:hAnsi="Times New Roman"/>
          <w:b/>
          <w:bCs/>
          <w:lang w:val="ru-RU"/>
        </w:rPr>
        <w:t xml:space="preserve">508,3 </w:t>
      </w:r>
      <w:r w:rsidRPr="009C5E89">
        <w:rPr>
          <w:rFonts w:ascii="Times New Roman" w:hAnsi="Times New Roman"/>
          <w:b/>
          <w:bCs/>
        </w:rPr>
        <w:t>млн. лв.</w:t>
      </w:r>
      <w:r w:rsidRPr="009C5E89">
        <w:rPr>
          <w:rFonts w:ascii="Times New Roman" w:hAnsi="Times New Roman"/>
          <w:bCs/>
        </w:rPr>
        <w:t>, което е в изпълнение на действащото към момента законодателство в областта на собствените ресурси на ЕС</w:t>
      </w:r>
      <w:r w:rsidRPr="009C5E89">
        <w:rPr>
          <w:rFonts w:ascii="Times New Roman" w:hAnsi="Times New Roman"/>
        </w:rPr>
        <w:t xml:space="preserve">. </w:t>
      </w:r>
    </w:p>
    <w:p w14:paraId="5339107D" w14:textId="711160C2" w:rsidR="008969AB" w:rsidRPr="009C570B" w:rsidRDefault="008969AB" w:rsidP="008969AB">
      <w:pPr>
        <w:pStyle w:val="ListParagraph"/>
        <w:numPr>
          <w:ilvl w:val="0"/>
          <w:numId w:val="20"/>
        </w:numPr>
        <w:tabs>
          <w:tab w:val="left" w:pos="426"/>
        </w:tabs>
        <w:spacing w:line="240" w:lineRule="auto"/>
        <w:ind w:left="0" w:firstLine="0"/>
      </w:pPr>
      <w:r w:rsidRPr="00F22878">
        <w:rPr>
          <w:rFonts w:ascii="Times New Roman" w:hAnsi="Times New Roman"/>
          <w:b/>
        </w:rPr>
        <w:t xml:space="preserve">Бюджетното салдо </w:t>
      </w:r>
      <w:r w:rsidRPr="00F22878">
        <w:rPr>
          <w:rFonts w:ascii="Times New Roman" w:hAnsi="Times New Roman"/>
          <w:bCs/>
        </w:rPr>
        <w:t xml:space="preserve">по консолидираната фискална програма </w:t>
      </w:r>
      <w:r w:rsidRPr="00F22878">
        <w:rPr>
          <w:rFonts w:ascii="Times New Roman" w:hAnsi="Times New Roman"/>
        </w:rPr>
        <w:t>към март 202</w:t>
      </w:r>
      <w:r>
        <w:rPr>
          <w:rFonts w:ascii="Times New Roman" w:hAnsi="Times New Roman"/>
        </w:rPr>
        <w:t>5</w:t>
      </w:r>
      <w:r w:rsidRPr="00F22878">
        <w:rPr>
          <w:rFonts w:ascii="Times New Roman" w:hAnsi="Times New Roman"/>
        </w:rPr>
        <w:t xml:space="preserve"> г.</w:t>
      </w:r>
      <w:r w:rsidRPr="00F22878">
        <w:rPr>
          <w:rFonts w:ascii="Times New Roman" w:hAnsi="Times New Roman"/>
          <w:bCs/>
        </w:rPr>
        <w:t xml:space="preserve"> е </w:t>
      </w:r>
      <w:r w:rsidRPr="00F22878">
        <w:rPr>
          <w:rFonts w:ascii="Times New Roman" w:hAnsi="Times New Roman"/>
          <w:b/>
          <w:bCs/>
        </w:rPr>
        <w:t>отрицателно</w:t>
      </w:r>
      <w:r w:rsidRPr="00F22878">
        <w:rPr>
          <w:rFonts w:ascii="Times New Roman" w:hAnsi="Times New Roman"/>
          <w:bCs/>
        </w:rPr>
        <w:t xml:space="preserve"> в размер на </w:t>
      </w:r>
      <w:r w:rsidRPr="00F22878">
        <w:rPr>
          <w:rFonts w:ascii="Times New Roman" w:hAnsi="Times New Roman"/>
          <w:b/>
          <w:bCs/>
        </w:rPr>
        <w:t>1 926,7 млн. лв.</w:t>
      </w:r>
      <w:r w:rsidRPr="00F22878">
        <w:rPr>
          <w:rFonts w:ascii="Times New Roman" w:hAnsi="Times New Roman"/>
          <w:bCs/>
        </w:rPr>
        <w:t xml:space="preserve"> (0,9 % от прогнозния БВП).</w:t>
      </w:r>
    </w:p>
    <w:p w14:paraId="4F3A6F10" w14:textId="77777777" w:rsidR="008969AB" w:rsidRPr="00716094" w:rsidRDefault="008969AB" w:rsidP="008969AB">
      <w:pPr>
        <w:numPr>
          <w:ilvl w:val="0"/>
          <w:numId w:val="7"/>
        </w:numPr>
        <w:tabs>
          <w:tab w:val="num" w:pos="0"/>
          <w:tab w:val="left" w:pos="426"/>
          <w:tab w:val="left" w:pos="720"/>
        </w:tabs>
        <w:spacing w:before="120" w:after="60"/>
        <w:ind w:left="0" w:firstLine="0"/>
        <w:jc w:val="both"/>
        <w:rPr>
          <w:color w:val="0070C0"/>
          <w:sz w:val="22"/>
        </w:rPr>
      </w:pPr>
      <w:r w:rsidRPr="00F37B84">
        <w:rPr>
          <w:b/>
          <w:szCs w:val="28"/>
        </w:rPr>
        <w:t>Общият размер</w:t>
      </w:r>
      <w:r w:rsidRPr="00F37B84">
        <w:rPr>
          <w:bCs/>
          <w:sz w:val="22"/>
        </w:rPr>
        <w:t xml:space="preserve"> </w:t>
      </w:r>
      <w:r w:rsidRPr="00F37B84">
        <w:rPr>
          <w:b/>
          <w:bCs/>
          <w:szCs w:val="28"/>
        </w:rPr>
        <w:t>на касовите постъпления от ЕС</w:t>
      </w:r>
      <w:r w:rsidRPr="00F37B84">
        <w:rPr>
          <w:bCs/>
          <w:szCs w:val="28"/>
        </w:rPr>
        <w:t xml:space="preserve"> (от Структурните и Кохезионния фондове, от</w:t>
      </w:r>
      <w:r w:rsidRPr="00F37B84">
        <w:rPr>
          <w:szCs w:val="28"/>
        </w:rPr>
        <w:t xml:space="preserve"> ЕЗФРСР и ЕФМДР</w:t>
      </w:r>
      <w:r w:rsidRPr="00F37B84">
        <w:rPr>
          <w:bCs/>
          <w:szCs w:val="28"/>
        </w:rPr>
        <w:t xml:space="preserve">, от средства за директни плащания към земеделските производители и плащания </w:t>
      </w:r>
      <w:r w:rsidRPr="00777D0C">
        <w:rPr>
          <w:bCs/>
          <w:szCs w:val="28"/>
        </w:rPr>
        <w:t xml:space="preserve">по пазарни мерки и др.) за </w:t>
      </w:r>
      <w:r w:rsidRPr="00777D0C">
        <w:t>първото тримесечие на 2025 </w:t>
      </w:r>
      <w:r w:rsidRPr="00777D0C">
        <w:rPr>
          <w:bCs/>
          <w:szCs w:val="28"/>
        </w:rPr>
        <w:t xml:space="preserve"> г. е </w:t>
      </w:r>
      <w:r w:rsidRPr="00777D0C">
        <w:rPr>
          <w:b/>
          <w:bCs/>
          <w:szCs w:val="28"/>
        </w:rPr>
        <w:t>1 122,1 млн. лв.</w:t>
      </w:r>
      <w:r w:rsidRPr="00777D0C">
        <w:rPr>
          <w:b/>
          <w:szCs w:val="28"/>
        </w:rPr>
        <w:t xml:space="preserve"> </w:t>
      </w:r>
      <w:r w:rsidRPr="00777D0C">
        <w:rPr>
          <w:b/>
          <w:bCs/>
          <w:szCs w:val="28"/>
        </w:rPr>
        <w:t xml:space="preserve">Нетните постъпления от ЕС към 31.03.2025 г. </w:t>
      </w:r>
      <w:r w:rsidRPr="00777D0C">
        <w:rPr>
          <w:bCs/>
          <w:szCs w:val="28"/>
        </w:rPr>
        <w:t xml:space="preserve">(касови постъпления от ЕС, намалени с вноската в общия бюджет на ЕС) са положителни в размер на </w:t>
      </w:r>
      <w:r w:rsidRPr="00777D0C">
        <w:rPr>
          <w:b/>
          <w:bCs/>
          <w:szCs w:val="28"/>
        </w:rPr>
        <w:t>613,8 млн. лева</w:t>
      </w:r>
      <w:r w:rsidRPr="00777D0C">
        <w:rPr>
          <w:sz w:val="22"/>
        </w:rPr>
        <w:t>.</w:t>
      </w:r>
    </w:p>
    <w:p w14:paraId="0FC3A8FC" w14:textId="77777777" w:rsidR="008969AB" w:rsidRPr="00D0411F" w:rsidRDefault="008969AB" w:rsidP="008969AB">
      <w:pPr>
        <w:numPr>
          <w:ilvl w:val="2"/>
          <w:numId w:val="12"/>
        </w:numPr>
        <w:tabs>
          <w:tab w:val="left" w:pos="426"/>
        </w:tabs>
        <w:spacing w:before="120" w:after="240"/>
        <w:ind w:left="0" w:firstLine="0"/>
        <w:jc w:val="both"/>
        <w:rPr>
          <w:color w:val="0070C0"/>
          <w:sz w:val="8"/>
          <w:szCs w:val="8"/>
        </w:rPr>
      </w:pPr>
      <w:r w:rsidRPr="00D0411F">
        <w:rPr>
          <w:b/>
        </w:rPr>
        <w:t>Фискалният резерв</w:t>
      </w:r>
      <w:r w:rsidRPr="00D0411F">
        <w:rPr>
          <w:b/>
          <w:bCs/>
          <w:vertAlign w:val="superscript"/>
          <w:lang w:eastAsia="bg-BG"/>
        </w:rPr>
        <w:footnoteReference w:id="7"/>
      </w:r>
      <w:r w:rsidRPr="00D0411F">
        <w:rPr>
          <w:bCs/>
          <w:lang w:eastAsia="bg-BG"/>
        </w:rPr>
        <w:t xml:space="preserve"> </w:t>
      </w:r>
      <w:r w:rsidRPr="00D0411F">
        <w:rPr>
          <w:bCs/>
        </w:rPr>
        <w:t xml:space="preserve">към 31.03.2025 г. е </w:t>
      </w:r>
      <w:r w:rsidRPr="00D0411F">
        <w:rPr>
          <w:b/>
          <w:bCs/>
        </w:rPr>
        <w:t>8 992,473 млн. лв</w:t>
      </w:r>
      <w:r w:rsidRPr="00D0411F">
        <w:rPr>
          <w:bCs/>
        </w:rPr>
        <w:t>., в т. ч. 7 454,150 млн. лв. депозити на фискалния резерв в БНБ и банки и 1 538,323 млн. лв. вземания от фондовете на Европейския съюз за сертифицирани разходи, аванси и други</w:t>
      </w:r>
      <w:r w:rsidRPr="00D0411F">
        <w:rPr>
          <w:bCs/>
          <w:color w:val="0070C0"/>
          <w:lang w:eastAsia="bg-BG"/>
        </w:rPr>
        <w:t>.</w:t>
      </w:r>
      <w:r w:rsidRPr="00D0411F">
        <w:rPr>
          <w:bCs/>
          <w:color w:val="0070C0"/>
        </w:rPr>
        <w:t xml:space="preserve"> </w:t>
      </w:r>
    </w:p>
    <w:p w14:paraId="60367BCD" w14:textId="77777777" w:rsidR="008969AB" w:rsidRPr="00716094" w:rsidRDefault="008969AB" w:rsidP="008969AB">
      <w:pPr>
        <w:tabs>
          <w:tab w:val="left" w:pos="426"/>
        </w:tabs>
        <w:spacing w:before="120" w:after="120"/>
        <w:jc w:val="both"/>
        <w:rPr>
          <w:color w:val="0070C0"/>
          <w:sz w:val="8"/>
          <w:szCs w:val="8"/>
        </w:rPr>
      </w:pPr>
    </w:p>
    <w:p w14:paraId="2538406A" w14:textId="77777777" w:rsidR="008969AB" w:rsidRPr="00716094" w:rsidRDefault="008969AB" w:rsidP="008969AB">
      <w:pPr>
        <w:tabs>
          <w:tab w:val="left" w:pos="426"/>
        </w:tabs>
        <w:spacing w:before="120" w:after="120"/>
        <w:jc w:val="both"/>
        <w:rPr>
          <w:color w:val="0070C0"/>
          <w:sz w:val="8"/>
          <w:szCs w:val="8"/>
        </w:rPr>
      </w:pPr>
    </w:p>
    <w:p w14:paraId="7A0BED48" w14:textId="77777777" w:rsidR="008969AB" w:rsidRPr="00716094" w:rsidRDefault="008969AB" w:rsidP="008969AB">
      <w:pPr>
        <w:rPr>
          <w:color w:val="0070C0"/>
          <w:sz w:val="8"/>
          <w:szCs w:val="8"/>
        </w:rPr>
      </w:pPr>
      <w:r w:rsidRPr="00716094">
        <w:rPr>
          <w:color w:val="0070C0"/>
          <w:sz w:val="8"/>
          <w:szCs w:val="8"/>
        </w:rPr>
        <w:br w:type="page"/>
      </w:r>
    </w:p>
    <w:p w14:paraId="369AEE00" w14:textId="77777777" w:rsidR="008969AB" w:rsidRPr="000C0E2B" w:rsidRDefault="008969AB" w:rsidP="008969AB">
      <w:pPr>
        <w:pStyle w:val="ListParagraph"/>
        <w:numPr>
          <w:ilvl w:val="0"/>
          <w:numId w:val="8"/>
        </w:numPr>
        <w:rPr>
          <w:rFonts w:ascii="Times New Roman" w:hAnsi="Times New Roman"/>
          <w:b/>
          <w:bCs/>
          <w:szCs w:val="24"/>
        </w:rPr>
      </w:pPr>
      <w:r w:rsidRPr="000C0E2B">
        <w:rPr>
          <w:rFonts w:ascii="Times New Roman" w:hAnsi="Times New Roman"/>
          <w:b/>
          <w:bCs/>
          <w:szCs w:val="24"/>
        </w:rPr>
        <w:t>Промени в данъчното законодателство за 2025 г.</w:t>
      </w:r>
    </w:p>
    <w:p w14:paraId="70A93FCD" w14:textId="77777777" w:rsidR="008969AB" w:rsidRPr="00696F4C" w:rsidRDefault="008969AB" w:rsidP="008969AB">
      <w:pPr>
        <w:ind w:right="-39" w:firstLine="720"/>
        <w:jc w:val="both"/>
        <w:rPr>
          <w:color w:val="943634" w:themeColor="accent2" w:themeShade="BF"/>
          <w:lang w:eastAsia="bg-BG"/>
        </w:rPr>
      </w:pPr>
      <w:r w:rsidRPr="008605D1">
        <w:t>С цел</w:t>
      </w:r>
      <w:r>
        <w:t xml:space="preserve"> усъвършенстване на законодателството и</w:t>
      </w:r>
      <w:r w:rsidRPr="008605D1">
        <w:t xml:space="preserve"> повишаване на приходите в държавния бюджет са </w:t>
      </w:r>
      <w:r>
        <w:t>приети</w:t>
      </w:r>
      <w:r w:rsidRPr="008605D1">
        <w:t xml:space="preserve"> следните </w:t>
      </w:r>
      <w:r w:rsidRPr="008605D1">
        <w:rPr>
          <w:b/>
        </w:rPr>
        <w:t xml:space="preserve">промени в данъчното законодателство </w:t>
      </w:r>
      <w:r>
        <w:rPr>
          <w:b/>
        </w:rPr>
        <w:t xml:space="preserve">в </w:t>
      </w:r>
      <w:r w:rsidRPr="008605D1">
        <w:rPr>
          <w:b/>
        </w:rPr>
        <w:t xml:space="preserve">ЗДБРБ 2025, </w:t>
      </w:r>
      <w:r w:rsidRPr="008605D1">
        <w:t>както следва</w:t>
      </w:r>
      <w:r w:rsidRPr="00696F4C">
        <w:rPr>
          <w:color w:val="943634" w:themeColor="accent2" w:themeShade="BF"/>
          <w:lang w:eastAsia="bg-BG"/>
        </w:rPr>
        <w:t>:</w:t>
      </w:r>
    </w:p>
    <w:p w14:paraId="28019874" w14:textId="77777777" w:rsidR="008969AB" w:rsidRPr="00696F4C" w:rsidRDefault="008969AB" w:rsidP="008969AB">
      <w:pPr>
        <w:ind w:right="-39" w:firstLine="720"/>
        <w:jc w:val="both"/>
        <w:rPr>
          <w:color w:val="943634" w:themeColor="accent2" w:themeShade="BF"/>
          <w:lang w:eastAsia="bg-BG"/>
        </w:rPr>
      </w:pPr>
    </w:p>
    <w:p w14:paraId="60427314" w14:textId="77777777" w:rsidR="008969AB" w:rsidRPr="004240BB" w:rsidRDefault="008969AB" w:rsidP="008969AB">
      <w:pPr>
        <w:widowControl w:val="0"/>
        <w:suppressAutoHyphens/>
        <w:spacing w:after="120"/>
        <w:ind w:right="-284" w:firstLine="709"/>
        <w:jc w:val="both"/>
        <w:outlineLvl w:val="0"/>
        <w:rPr>
          <w:b/>
          <w:u w:val="single"/>
        </w:rPr>
      </w:pPr>
      <w:r w:rsidRPr="004240BB">
        <w:rPr>
          <w:b/>
          <w:u w:val="single"/>
        </w:rPr>
        <w:t xml:space="preserve">По Закона за корпоративното подоходно облагане </w:t>
      </w:r>
      <w:r w:rsidRPr="004240BB">
        <w:rPr>
          <w:b/>
        </w:rPr>
        <w:t>(ЗКПО)</w:t>
      </w:r>
    </w:p>
    <w:p w14:paraId="7045B768" w14:textId="77777777" w:rsidR="008969AB" w:rsidRPr="004240BB" w:rsidRDefault="008969AB" w:rsidP="008969AB">
      <w:pPr>
        <w:numPr>
          <w:ilvl w:val="0"/>
          <w:numId w:val="31"/>
        </w:numPr>
        <w:jc w:val="both"/>
        <w:rPr>
          <w:lang w:eastAsia="bg-BG"/>
        </w:rPr>
      </w:pPr>
      <w:r w:rsidRPr="004240BB">
        <w:rPr>
          <w:b/>
          <w:i/>
          <w:lang w:eastAsia="bg-BG"/>
        </w:rPr>
        <w:t xml:space="preserve">Промени свързани с продължаване прилагането на данъчното облекчение за извършване на производствена дейност в общини с безработица, по-висока от средната за страната в случаите на минимална помощ по чл. 188 от ЗКПО. </w:t>
      </w:r>
    </w:p>
    <w:p w14:paraId="3D99F543" w14:textId="77777777" w:rsidR="008969AB" w:rsidRPr="004240BB" w:rsidRDefault="008969AB" w:rsidP="008969AB">
      <w:pPr>
        <w:rPr>
          <w:b/>
          <w:sz w:val="6"/>
          <w:lang w:eastAsia="bg-BG"/>
        </w:rPr>
      </w:pPr>
    </w:p>
    <w:p w14:paraId="5662D525" w14:textId="77777777" w:rsidR="008969AB" w:rsidRPr="004240BB" w:rsidRDefault="008969AB" w:rsidP="008969AB">
      <w:pPr>
        <w:ind w:firstLine="709"/>
        <w:jc w:val="both"/>
        <w:rPr>
          <w:lang w:eastAsia="bg-BG"/>
        </w:rPr>
      </w:pPr>
      <w:r w:rsidRPr="004240BB">
        <w:rPr>
          <w:lang w:eastAsia="bg-BG"/>
        </w:rPr>
        <w:t>Целта на промяната е да продължи да се прилага данъчното облекчение за преотстъпване на корпоративен данък по чл. 184 от ЗКПО във връзка с чл. 188 от ЗКПО под формата на минимална помощ, като средство за насърчаване на икономическата активност чрез стимул за инвестиране в материални и нематериални активи в предприятия, намиращи се в общини с безработица по-висока от средната за страната, и се очаква така да се запазят или увеличат нивата на заетост в тези общини.</w:t>
      </w:r>
    </w:p>
    <w:p w14:paraId="2897C30F" w14:textId="77777777" w:rsidR="008969AB" w:rsidRPr="004240BB" w:rsidRDefault="008969AB" w:rsidP="008969AB">
      <w:pPr>
        <w:ind w:firstLine="652"/>
        <w:jc w:val="both"/>
        <w:rPr>
          <w:lang w:eastAsia="bg-BG"/>
        </w:rPr>
      </w:pPr>
      <w:r w:rsidRPr="004240BB">
        <w:rPr>
          <w:lang w:eastAsia="bg-BG"/>
        </w:rPr>
        <w:t xml:space="preserve">За продължаване прилагането на данъчното облекчение, представляващо минимална помощ са разработени текстове за минимална помощ, които са в съответствие с новия Регламент (ЕС) 2023/2831 на Комисията от 13 декември 2023 г. относно прилагането на членове 107 и 108 от Договора за функционирането на Европейския съюз към помощта </w:t>
      </w:r>
      <w:proofErr w:type="spellStart"/>
      <w:r w:rsidRPr="004240BB">
        <w:rPr>
          <w:lang w:eastAsia="bg-BG"/>
        </w:rPr>
        <w:t>de</w:t>
      </w:r>
      <w:proofErr w:type="spellEnd"/>
      <w:r w:rsidRPr="004240BB">
        <w:rPr>
          <w:lang w:eastAsia="bg-BG"/>
        </w:rPr>
        <w:t xml:space="preserve"> </w:t>
      </w:r>
      <w:proofErr w:type="spellStart"/>
      <w:r w:rsidRPr="004240BB">
        <w:rPr>
          <w:lang w:eastAsia="bg-BG"/>
        </w:rPr>
        <w:t>minimis</w:t>
      </w:r>
      <w:proofErr w:type="spellEnd"/>
      <w:r w:rsidRPr="004240BB">
        <w:rPr>
          <w:lang w:eastAsia="bg-BG"/>
        </w:rPr>
        <w:t xml:space="preserve"> (Регламент (ЕС) 2023/2831), срокът за прилагане на който е от 1 януари 2024 г. до 31 декември 2030 година.</w:t>
      </w:r>
    </w:p>
    <w:p w14:paraId="6122EF63" w14:textId="77777777" w:rsidR="008969AB" w:rsidRPr="004240BB" w:rsidRDefault="008969AB" w:rsidP="008969AB">
      <w:pPr>
        <w:ind w:firstLine="709"/>
        <w:jc w:val="both"/>
        <w:rPr>
          <w:lang w:eastAsia="bg-BG"/>
        </w:rPr>
      </w:pPr>
      <w:r w:rsidRPr="004240BB">
        <w:rPr>
          <w:lang w:eastAsia="bg-BG"/>
        </w:rPr>
        <w:t>Основните промени в условията за прилагане на минимална помощ съгласно Регламент (ЕС) 2023/2831, в сравнение с Регламент (ЕС) № 1407/2013, който се прилагаше до края на 2023</w:t>
      </w:r>
      <w:r>
        <w:rPr>
          <w:lang w:eastAsia="bg-BG"/>
        </w:rPr>
        <w:t> </w:t>
      </w:r>
      <w:r w:rsidRPr="004240BB">
        <w:rPr>
          <w:lang w:eastAsia="bg-BG"/>
        </w:rPr>
        <w:t>г., са:</w:t>
      </w:r>
    </w:p>
    <w:p w14:paraId="14469A1C" w14:textId="77777777" w:rsidR="008969AB" w:rsidRPr="004240BB" w:rsidRDefault="008969AB" w:rsidP="008969AB">
      <w:pPr>
        <w:numPr>
          <w:ilvl w:val="0"/>
          <w:numId w:val="35"/>
        </w:numPr>
        <w:ind w:left="720" w:hanging="346"/>
        <w:jc w:val="both"/>
        <w:rPr>
          <w:lang w:eastAsia="bg-BG"/>
        </w:rPr>
      </w:pPr>
      <w:r w:rsidRPr="004240BB">
        <w:rPr>
          <w:lang w:eastAsia="bg-BG"/>
        </w:rPr>
        <w:t>увеличаване на горния праг на минималната помощ, предоставяна на едно предприятие за период от 3 години от левовата равностойност на 200 000 евро на левовата равностойност на 300 000 евро;</w:t>
      </w:r>
    </w:p>
    <w:p w14:paraId="7392E249" w14:textId="77777777" w:rsidR="008969AB" w:rsidRPr="004240BB" w:rsidRDefault="008969AB" w:rsidP="008969AB">
      <w:pPr>
        <w:numPr>
          <w:ilvl w:val="0"/>
          <w:numId w:val="35"/>
        </w:numPr>
        <w:ind w:left="720" w:hanging="346"/>
        <w:jc w:val="both"/>
        <w:rPr>
          <w:lang w:eastAsia="bg-BG"/>
        </w:rPr>
      </w:pPr>
      <w:r w:rsidRPr="004240BB">
        <w:rPr>
          <w:lang w:eastAsia="bg-BG"/>
        </w:rPr>
        <w:t xml:space="preserve">въвеждане на задължение за държавите членки да регистрират помощта </w:t>
      </w:r>
      <w:proofErr w:type="spellStart"/>
      <w:r w:rsidRPr="004240BB">
        <w:rPr>
          <w:lang w:eastAsia="bg-BG"/>
        </w:rPr>
        <w:t>de</w:t>
      </w:r>
      <w:proofErr w:type="spellEnd"/>
      <w:r w:rsidRPr="004240BB">
        <w:rPr>
          <w:lang w:eastAsia="bg-BG"/>
        </w:rPr>
        <w:t xml:space="preserve"> </w:t>
      </w:r>
      <w:proofErr w:type="spellStart"/>
      <w:r w:rsidRPr="004240BB">
        <w:rPr>
          <w:lang w:eastAsia="bg-BG"/>
        </w:rPr>
        <w:t>minimis</w:t>
      </w:r>
      <w:proofErr w:type="spellEnd"/>
      <w:r w:rsidRPr="004240BB">
        <w:rPr>
          <w:lang w:eastAsia="bg-BG"/>
        </w:rPr>
        <w:t xml:space="preserve"> в централен регистър, установен на национално ниво или на ниво Европейски съюз, считано от 1 януари 2026 г.;</w:t>
      </w:r>
    </w:p>
    <w:p w14:paraId="64FFFA9C" w14:textId="77777777" w:rsidR="008969AB" w:rsidRPr="004240BB" w:rsidRDefault="008969AB" w:rsidP="008969AB">
      <w:pPr>
        <w:numPr>
          <w:ilvl w:val="0"/>
          <w:numId w:val="35"/>
        </w:numPr>
        <w:ind w:left="720" w:hanging="346"/>
        <w:jc w:val="both"/>
        <w:rPr>
          <w:lang w:eastAsia="bg-BG"/>
        </w:rPr>
      </w:pPr>
      <w:r w:rsidRPr="004240BB">
        <w:rPr>
          <w:lang w:eastAsia="bg-BG"/>
        </w:rPr>
        <w:t>други различия, в т.ч. начина на изчисляване на периода за натрупване на помощта.</w:t>
      </w:r>
    </w:p>
    <w:p w14:paraId="4B3E28AF" w14:textId="77777777" w:rsidR="008969AB" w:rsidRPr="00056EF0" w:rsidRDefault="008969AB" w:rsidP="008969AB">
      <w:pPr>
        <w:jc w:val="both"/>
        <w:rPr>
          <w:sz w:val="14"/>
          <w:lang w:eastAsia="bg-BG"/>
        </w:rPr>
      </w:pPr>
    </w:p>
    <w:p w14:paraId="2AAB9EA3" w14:textId="77777777" w:rsidR="008969AB" w:rsidRPr="004240BB" w:rsidRDefault="008969AB" w:rsidP="008969AB">
      <w:pPr>
        <w:numPr>
          <w:ilvl w:val="0"/>
          <w:numId w:val="31"/>
        </w:numPr>
        <w:spacing w:after="240"/>
        <w:jc w:val="both"/>
        <w:rPr>
          <w:b/>
          <w:i/>
          <w:lang w:eastAsia="bg-BG"/>
        </w:rPr>
      </w:pPr>
      <w:r w:rsidRPr="004240BB">
        <w:rPr>
          <w:b/>
          <w:i/>
          <w:lang w:eastAsia="bg-BG"/>
        </w:rPr>
        <w:t>Промени, свързани с необходимостта от уточняване и/или допълнение на текстовете в ЗКПО, свързани с прилагането на режима за облагане на многонационалните и големите национални групи предприятия с допълнителен данък и с национален допълнителен данък и издадените от Организацията за икономическо сътрудничество и развитие (ОИСР) административни насоки към Модела на правила на ОИСР срещу свиване на данъчната основа (втори стълб)</w:t>
      </w:r>
    </w:p>
    <w:p w14:paraId="14F19D9F" w14:textId="77777777" w:rsidR="008969AB" w:rsidRPr="004240BB" w:rsidRDefault="008969AB" w:rsidP="008969AB">
      <w:pPr>
        <w:ind w:firstLine="709"/>
        <w:jc w:val="both"/>
        <w:rPr>
          <w:lang w:eastAsia="bg-BG"/>
        </w:rPr>
      </w:pPr>
      <w:r w:rsidRPr="004240BB">
        <w:rPr>
          <w:lang w:eastAsia="bg-BG"/>
        </w:rPr>
        <w:t xml:space="preserve">Промените имат за цел прецизиране и осигуряване на съответствие на </w:t>
      </w:r>
      <w:r w:rsidRPr="004240BB">
        <w:rPr>
          <w:bCs/>
          <w:lang w:eastAsia="bg-BG"/>
        </w:rPr>
        <w:t xml:space="preserve">прилагането на част пета „а“ от ЗКПО с Модела на правила на ОИСР, Коментара към Модела на правила и административните насоки </w:t>
      </w:r>
      <w:r w:rsidRPr="004240BB">
        <w:rPr>
          <w:lang w:eastAsia="bg-BG"/>
        </w:rPr>
        <w:t>по прилагането на Модела на правила.</w:t>
      </w:r>
    </w:p>
    <w:p w14:paraId="14389E67" w14:textId="77777777" w:rsidR="008969AB" w:rsidRPr="004240BB" w:rsidRDefault="008969AB" w:rsidP="008969AB">
      <w:pPr>
        <w:ind w:firstLine="567"/>
        <w:jc w:val="both"/>
        <w:rPr>
          <w:bCs/>
          <w:lang w:eastAsia="bg-BG"/>
        </w:rPr>
      </w:pPr>
      <w:r w:rsidRPr="004240BB">
        <w:rPr>
          <w:lang w:eastAsia="bg-BG"/>
        </w:rPr>
        <w:t xml:space="preserve">С направените изменения и допълнения на ЗКПО, свързани с прилагането на режима за облагане на многонационалните и големите национални групи предприятия с допълнителен данък и с национален допълнителен данък, </w:t>
      </w:r>
      <w:r w:rsidRPr="004240BB">
        <w:rPr>
          <w:bCs/>
          <w:lang w:eastAsia="bg-BG"/>
        </w:rPr>
        <w:t xml:space="preserve">ще се преодолее правната несигурност във връзка с прилагането на влезлите вече в сила от 1 януари 2024 г. разпоредби за въвеждане на  Директива (ЕС) 2022/2523, както и, предвид т. 24 от преамбюла на същата, ще се въведат някои от разясняващите и насочващи правила на ОИСР за прилагането на втори стълб. </w:t>
      </w:r>
    </w:p>
    <w:p w14:paraId="5B218D63" w14:textId="77777777" w:rsidR="008969AB" w:rsidRPr="004240BB" w:rsidRDefault="008969AB" w:rsidP="008969AB">
      <w:pPr>
        <w:rPr>
          <w:b/>
          <w:color w:val="7B7B7B"/>
          <w:lang w:eastAsia="bg-BG"/>
        </w:rPr>
      </w:pPr>
    </w:p>
    <w:p w14:paraId="313A031B" w14:textId="77777777" w:rsidR="008969AB" w:rsidRPr="004240BB" w:rsidRDefault="008969AB" w:rsidP="008969AB">
      <w:pPr>
        <w:widowControl w:val="0"/>
        <w:suppressAutoHyphens/>
        <w:spacing w:after="120"/>
        <w:ind w:right="-284" w:firstLine="709"/>
        <w:jc w:val="both"/>
        <w:outlineLvl w:val="0"/>
        <w:rPr>
          <w:b/>
        </w:rPr>
      </w:pPr>
      <w:r w:rsidRPr="004240BB">
        <w:rPr>
          <w:b/>
          <w:u w:val="single"/>
        </w:rPr>
        <w:t xml:space="preserve">По Закона за данъците върху доходите на физически лица </w:t>
      </w:r>
      <w:r w:rsidRPr="004240BB">
        <w:rPr>
          <w:b/>
        </w:rPr>
        <w:t>(ЗДДФЛ)</w:t>
      </w:r>
    </w:p>
    <w:p w14:paraId="1995EB1E" w14:textId="77777777" w:rsidR="008969AB" w:rsidRPr="004240BB" w:rsidRDefault="008969AB" w:rsidP="008969AB">
      <w:pPr>
        <w:numPr>
          <w:ilvl w:val="0"/>
          <w:numId w:val="31"/>
        </w:numPr>
        <w:jc w:val="both"/>
        <w:rPr>
          <w:b/>
          <w:i/>
          <w:lang w:eastAsia="bg-BG"/>
        </w:rPr>
      </w:pPr>
      <w:r w:rsidRPr="004240BB">
        <w:rPr>
          <w:b/>
          <w:i/>
          <w:lang w:eastAsia="bg-BG"/>
        </w:rPr>
        <w:t>Прецизиране разпоредбите на чл. 22в и чл. 22г от ЗДДФЛ, свързани с правото на ползване на данъчно облекчение за деца и данъчно облекчение за деца с увреждания от родител, на когото не е предоставено упражняването на родителските права в случаите на развод и в случаите, в които не е налице сключен брак между родителите</w:t>
      </w:r>
    </w:p>
    <w:p w14:paraId="27699C3E" w14:textId="77777777" w:rsidR="008969AB" w:rsidRPr="004240BB" w:rsidRDefault="008969AB" w:rsidP="008969AB">
      <w:pPr>
        <w:ind w:firstLine="643"/>
        <w:jc w:val="both"/>
        <w:rPr>
          <w:lang w:eastAsia="bg-BG"/>
        </w:rPr>
      </w:pPr>
      <w:r w:rsidRPr="004240BB">
        <w:rPr>
          <w:lang w:eastAsia="bg-BG"/>
        </w:rPr>
        <w:t>Целта на промяната е изрично да се определи поредността на ползване на данъчните облекчения от двамата родители, като едновременно с това да се защитават правата на родителя, на когото е предоставено упражняването на родителските права.</w:t>
      </w:r>
    </w:p>
    <w:p w14:paraId="199BAECC" w14:textId="77777777" w:rsidR="008969AB" w:rsidRPr="004240BB" w:rsidRDefault="008969AB" w:rsidP="008969AB">
      <w:pPr>
        <w:numPr>
          <w:ilvl w:val="0"/>
          <w:numId w:val="31"/>
        </w:numPr>
        <w:jc w:val="both"/>
        <w:rPr>
          <w:b/>
          <w:i/>
          <w:lang w:eastAsia="bg-BG"/>
        </w:rPr>
      </w:pPr>
      <w:r w:rsidRPr="004240BB">
        <w:rPr>
          <w:b/>
          <w:i/>
          <w:lang w:eastAsia="bg-BG"/>
        </w:rPr>
        <w:t>Промяна в сметката, по която се внасят дължимите данъчни задължения по</w:t>
      </w:r>
      <w:r w:rsidRPr="004240BB" w:rsidDel="009D3F59">
        <w:rPr>
          <w:b/>
          <w:i/>
          <w:lang w:eastAsia="bg-BG"/>
        </w:rPr>
        <w:t xml:space="preserve"> </w:t>
      </w:r>
      <w:r w:rsidRPr="004240BB">
        <w:rPr>
          <w:b/>
          <w:i/>
          <w:lang w:eastAsia="bg-BG"/>
        </w:rPr>
        <w:t>ЗДДФЛ</w:t>
      </w:r>
    </w:p>
    <w:p w14:paraId="048D8B66" w14:textId="77777777" w:rsidR="008969AB" w:rsidRPr="004240BB" w:rsidRDefault="008969AB" w:rsidP="008969AB">
      <w:pPr>
        <w:ind w:firstLine="643"/>
        <w:jc w:val="both"/>
        <w:rPr>
          <w:lang w:eastAsia="bg-BG"/>
        </w:rPr>
      </w:pPr>
      <w:r w:rsidRPr="004240BB">
        <w:rPr>
          <w:lang w:eastAsia="bg-BG"/>
        </w:rPr>
        <w:t>Приетото изменение е свързано с реализацията на проекта за миграция на бюджетните плащания към стандартите на Единната зона за плащания в евро (SEPA) от 01.10.2023 г. Целта на промяната е актуализиране на разпоредбите на закона, свързани с промяната в сметката на Националната агенция за приходите, по която се внасят дължимите данъчни задължения по</w:t>
      </w:r>
      <w:r w:rsidRPr="004240BB" w:rsidDel="009D3F59">
        <w:rPr>
          <w:lang w:eastAsia="bg-BG"/>
        </w:rPr>
        <w:t xml:space="preserve"> </w:t>
      </w:r>
      <w:r w:rsidRPr="004240BB">
        <w:rPr>
          <w:lang w:eastAsia="bg-BG"/>
        </w:rPr>
        <w:t>ЗДДФЛ.</w:t>
      </w:r>
      <w:r w:rsidRPr="004240BB" w:rsidDel="009D3F59">
        <w:rPr>
          <w:lang w:eastAsia="bg-BG"/>
        </w:rPr>
        <w:t xml:space="preserve"> </w:t>
      </w:r>
    </w:p>
    <w:p w14:paraId="45297FE0" w14:textId="77777777" w:rsidR="008969AB" w:rsidRPr="004240BB" w:rsidRDefault="008969AB" w:rsidP="008969AB">
      <w:pPr>
        <w:ind w:firstLine="709"/>
        <w:jc w:val="both"/>
        <w:rPr>
          <w:rFonts w:eastAsia="Calibri"/>
          <w:bCs/>
        </w:rPr>
      </w:pPr>
    </w:p>
    <w:p w14:paraId="641B9A93" w14:textId="77777777" w:rsidR="008969AB" w:rsidRPr="004240BB" w:rsidRDefault="008969AB" w:rsidP="008969AB">
      <w:pPr>
        <w:widowControl w:val="0"/>
        <w:suppressAutoHyphens/>
        <w:spacing w:after="120"/>
        <w:ind w:right="-284" w:firstLine="709"/>
        <w:jc w:val="both"/>
        <w:outlineLvl w:val="0"/>
        <w:rPr>
          <w:lang w:eastAsia="bg-BG"/>
        </w:rPr>
      </w:pPr>
      <w:r w:rsidRPr="004240BB">
        <w:rPr>
          <w:b/>
          <w:u w:val="single"/>
        </w:rPr>
        <w:t>По Закона за данък върху добавената стойност (</w:t>
      </w:r>
      <w:r w:rsidRPr="004240BB">
        <w:rPr>
          <w:b/>
          <w:lang w:eastAsia="bg-BG"/>
        </w:rPr>
        <w:t>ЗДДС)</w:t>
      </w:r>
    </w:p>
    <w:p w14:paraId="1205F051" w14:textId="77777777" w:rsidR="008969AB" w:rsidRPr="004240BB" w:rsidRDefault="008969AB" w:rsidP="008969AB">
      <w:pPr>
        <w:ind w:firstLine="652"/>
        <w:jc w:val="both"/>
        <w:rPr>
          <w:bCs/>
          <w:i/>
          <w:lang w:eastAsia="bg-BG" w:bidi="bg-BG"/>
        </w:rPr>
      </w:pPr>
      <w:r w:rsidRPr="004240BB">
        <w:rPr>
          <w:bCs/>
          <w:iCs/>
          <w:lang w:eastAsia="bg-BG"/>
        </w:rPr>
        <w:t>Като мярка, свързана с оптимизиране на бюджетните приходи е прието изменение в размерът на националния праг за освобождаване от облагане, като същия да се намали от 166 000 лева на 100 000 лева</w:t>
      </w:r>
      <w:r w:rsidRPr="004240BB">
        <w:rPr>
          <w:bCs/>
          <w:i/>
          <w:lang w:eastAsia="bg-BG" w:bidi="bg-BG"/>
        </w:rPr>
        <w:t xml:space="preserve">. </w:t>
      </w:r>
    </w:p>
    <w:p w14:paraId="08E11105" w14:textId="3CDE4335" w:rsidR="008969AB" w:rsidRPr="004240BB" w:rsidRDefault="00665DDF" w:rsidP="008969AB">
      <w:pPr>
        <w:ind w:firstLine="652"/>
        <w:jc w:val="both"/>
        <w:rPr>
          <w:bCs/>
          <w:iCs/>
          <w:lang w:eastAsia="bg-BG"/>
        </w:rPr>
      </w:pPr>
      <w:r w:rsidRPr="00665DDF">
        <w:rPr>
          <w:bCs/>
          <w:iCs/>
          <w:lang w:eastAsia="bg-BG"/>
        </w:rPr>
        <w:t>Приета</w:t>
      </w:r>
      <w:r>
        <w:rPr>
          <w:bCs/>
          <w:iCs/>
          <w:lang w:eastAsia="bg-BG"/>
        </w:rPr>
        <w:t xml:space="preserve"> </w:t>
      </w:r>
      <w:r w:rsidR="008969AB" w:rsidRPr="004240BB">
        <w:rPr>
          <w:bCs/>
          <w:iCs/>
          <w:lang w:eastAsia="bg-BG"/>
        </w:rPr>
        <w:t>е законова промяна, с която се намалява възможността за измами с данък върху добавена стойност, свързани с „търговията” с касови бележки и съответно с източване на ДДС.</w:t>
      </w:r>
    </w:p>
    <w:p w14:paraId="3D56AC22" w14:textId="77777777" w:rsidR="008969AB" w:rsidRPr="004240BB" w:rsidRDefault="008969AB" w:rsidP="008969AB">
      <w:pPr>
        <w:ind w:firstLine="652"/>
        <w:jc w:val="both"/>
        <w:rPr>
          <w:bCs/>
          <w:iCs/>
          <w:lang w:eastAsia="bg-BG"/>
        </w:rPr>
      </w:pPr>
    </w:p>
    <w:p w14:paraId="41165A7C" w14:textId="77777777" w:rsidR="008969AB" w:rsidRPr="004240BB" w:rsidRDefault="008969AB" w:rsidP="008969AB">
      <w:pPr>
        <w:widowControl w:val="0"/>
        <w:suppressAutoHyphens/>
        <w:spacing w:after="120"/>
        <w:ind w:right="-284" w:firstLine="709"/>
        <w:jc w:val="both"/>
        <w:outlineLvl w:val="0"/>
        <w:rPr>
          <w:b/>
          <w:u w:val="single"/>
        </w:rPr>
      </w:pPr>
      <w:r w:rsidRPr="004240BB">
        <w:rPr>
          <w:b/>
          <w:u w:val="single"/>
        </w:rPr>
        <w:t>По закона за акцизите и данъчните складове (ЗАДС)</w:t>
      </w:r>
    </w:p>
    <w:p w14:paraId="119A217D" w14:textId="77777777" w:rsidR="008969AB" w:rsidRPr="004240BB" w:rsidRDefault="008969AB" w:rsidP="008969AB">
      <w:pPr>
        <w:numPr>
          <w:ilvl w:val="0"/>
          <w:numId w:val="31"/>
        </w:numPr>
        <w:spacing w:after="200"/>
        <w:jc w:val="both"/>
        <w:rPr>
          <w:b/>
          <w:bCs/>
          <w:i/>
          <w:lang w:eastAsia="bg-BG"/>
        </w:rPr>
      </w:pPr>
      <w:r w:rsidRPr="004240BB">
        <w:rPr>
          <w:b/>
          <w:bCs/>
          <w:i/>
          <w:lang w:eastAsia="bg-BG"/>
        </w:rPr>
        <w:t>Въвеждане на акцизен календар в периода 2025-2029 г. за поетапно увеличаване на акцизните ставки върху тютюневите изделия</w:t>
      </w:r>
    </w:p>
    <w:p w14:paraId="6103751A" w14:textId="77777777" w:rsidR="008969AB" w:rsidRPr="004240BB" w:rsidRDefault="008969AB" w:rsidP="008969AB">
      <w:pPr>
        <w:ind w:firstLine="643"/>
        <w:jc w:val="both"/>
        <w:rPr>
          <w:lang w:eastAsia="bg-BG"/>
        </w:rPr>
      </w:pPr>
      <w:r w:rsidRPr="004240BB">
        <w:rPr>
          <w:lang w:eastAsia="bg-BG"/>
        </w:rPr>
        <w:t>Мярката е в продължение на наложената вече практика за осигуряване на прозрачност на процесите, предвидимост за бизнеса и стабилност за потребителите чрез въвеждането на нов акцизен календар за повишаване на акцизните ставки върху тютюна и тютюневите изделия. Повишаването на акцизните ставки върху тютюневите изделия, е в контекста на предстоящото преразглеждане на Директива 2011/64/ЕС на Съвета от 21 юни 2011 година относно структурата и ставките на акциза върху обработен тютюн (Директива 2011/64/ЕС на Съвета), с което се очаква да бъдат предложени по-високи минимални нива на данъчно облагане на тютюневите изделия и свързаните с тях продукти. Към настоящия момент в Република България се прилагат минималните нива на облагане с акциз върху тютюневите изделия. В тази връзка и доколкото с преразглеждането на Директива 2011/64/ЕС на Съвета се очакват значително по-високи изисквания към минималните нива на данъчно облагане</w:t>
      </w:r>
      <w:r w:rsidR="00AD04FE">
        <w:rPr>
          <w:lang w:eastAsia="bg-BG"/>
        </w:rPr>
        <w:t>,</w:t>
      </w:r>
      <w:r w:rsidRPr="004240BB">
        <w:rPr>
          <w:lang w:eastAsia="bg-BG"/>
        </w:rPr>
        <w:t xml:space="preserve"> посредством въвеждането на поетапно увеличаване на акциза ще се намали изоставането на страната ни спрямо останалите държави членки в ЕС, където средните нива на акцизното облагане на цигарите е над 150 евро на хиляда къса, към текущите в България 90 евро на хиляда къса. </w:t>
      </w:r>
    </w:p>
    <w:p w14:paraId="5CB0453A" w14:textId="77777777" w:rsidR="008969AB" w:rsidRPr="004240BB" w:rsidRDefault="008969AB" w:rsidP="008969AB">
      <w:pPr>
        <w:ind w:firstLine="643"/>
        <w:jc w:val="both"/>
        <w:rPr>
          <w:bCs/>
          <w:iCs/>
          <w:lang w:eastAsia="bg-BG"/>
        </w:rPr>
      </w:pPr>
      <w:r w:rsidRPr="004240BB">
        <w:rPr>
          <w:lang w:eastAsia="bg-BG"/>
        </w:rPr>
        <w:t>Не на последно място следва да се отбележи, че плавното повишаване на акцизните ставки ще предотврати и реалната опасност от увеличаване на незаконната търговия с тютюневи изделия, евентуалните сътресения на пазара, както и негативното отражение върху</w:t>
      </w:r>
      <w:r w:rsidRPr="004240BB">
        <w:rPr>
          <w:bCs/>
          <w:iCs/>
          <w:lang w:eastAsia="bg-BG"/>
        </w:rPr>
        <w:t xml:space="preserve"> бюджетните приходи.</w:t>
      </w:r>
    </w:p>
    <w:p w14:paraId="715CB9A7" w14:textId="77777777" w:rsidR="002E2EA4" w:rsidRPr="004240BB" w:rsidRDefault="002E2EA4" w:rsidP="002E2EA4">
      <w:pPr>
        <w:autoSpaceDE w:val="0"/>
        <w:autoSpaceDN w:val="0"/>
        <w:adjustRightInd w:val="0"/>
        <w:spacing w:after="20"/>
        <w:ind w:firstLine="641"/>
        <w:jc w:val="both"/>
        <w:rPr>
          <w:sz w:val="14"/>
          <w:lang w:eastAsia="bg-BG"/>
        </w:rPr>
      </w:pPr>
      <w:r>
        <w:rPr>
          <w:lang w:eastAsia="bg-BG"/>
        </w:rPr>
        <w:t xml:space="preserve">Увеличените акцизни ставки са регламентирани в ЗАДС </w:t>
      </w:r>
      <w:r w:rsidRPr="00CF2541">
        <w:rPr>
          <w:lang w:eastAsia="bg-BG"/>
        </w:rPr>
        <w:t>(</w:t>
      </w:r>
      <w:r>
        <w:rPr>
          <w:lang w:eastAsia="bg-BG"/>
        </w:rPr>
        <w:t xml:space="preserve">ДВ, бр., </w:t>
      </w:r>
      <w:r w:rsidRPr="00EF42CE">
        <w:rPr>
          <w:lang w:eastAsia="bg-BG"/>
        </w:rPr>
        <w:t>от 2025 г</w:t>
      </w:r>
      <w:r>
        <w:rPr>
          <w:lang w:eastAsia="bg-BG"/>
        </w:rPr>
        <w:t>.</w:t>
      </w:r>
      <w:r w:rsidRPr="00EF42CE">
        <w:rPr>
          <w:lang w:eastAsia="bg-BG"/>
        </w:rPr>
        <w:t xml:space="preserve"> от 1.04.2025</w:t>
      </w:r>
      <w:r>
        <w:rPr>
          <w:lang w:eastAsia="bg-BG"/>
        </w:rPr>
        <w:t> </w:t>
      </w:r>
      <w:r w:rsidRPr="00EF42CE">
        <w:rPr>
          <w:lang w:eastAsia="bg-BG"/>
        </w:rPr>
        <w:t>г.)</w:t>
      </w:r>
      <w:r w:rsidRPr="004240BB">
        <w:rPr>
          <w:lang w:eastAsia="bg-BG"/>
        </w:rPr>
        <w:t xml:space="preserve"> </w:t>
      </w:r>
      <w:r w:rsidRPr="00967760">
        <w:rPr>
          <w:lang w:eastAsia="bg-BG"/>
        </w:rPr>
        <w:t>в сила от 1 май 2025 година</w:t>
      </w:r>
      <w:r>
        <w:rPr>
          <w:lang w:eastAsia="bg-BG"/>
        </w:rPr>
        <w:t>.</w:t>
      </w:r>
    </w:p>
    <w:p w14:paraId="0D4B37FA" w14:textId="77777777" w:rsidR="008969AB" w:rsidRPr="004240BB" w:rsidRDefault="008969AB" w:rsidP="008969AB">
      <w:pPr>
        <w:autoSpaceDE w:val="0"/>
        <w:autoSpaceDN w:val="0"/>
        <w:adjustRightInd w:val="0"/>
        <w:spacing w:after="20"/>
        <w:ind w:left="1429"/>
        <w:rPr>
          <w:sz w:val="14"/>
          <w:lang w:eastAsia="bg-BG"/>
        </w:rPr>
      </w:pPr>
    </w:p>
    <w:p w14:paraId="19AF327C" w14:textId="77777777" w:rsidR="008969AB" w:rsidRPr="004240BB" w:rsidRDefault="008969AB" w:rsidP="008969AB">
      <w:pPr>
        <w:numPr>
          <w:ilvl w:val="0"/>
          <w:numId w:val="31"/>
        </w:numPr>
        <w:spacing w:after="120"/>
        <w:ind w:left="641" w:hanging="357"/>
        <w:jc w:val="both"/>
        <w:rPr>
          <w:b/>
          <w:bCs/>
          <w:i/>
          <w:lang w:eastAsia="bg-BG"/>
        </w:rPr>
      </w:pPr>
      <w:r w:rsidRPr="004240BB">
        <w:rPr>
          <w:b/>
          <w:bCs/>
          <w:i/>
          <w:lang w:eastAsia="bg-BG"/>
        </w:rPr>
        <w:t>Ограничаване на данъчнозадължените лица от презапасяване с тютюневи изделия в случаите на влизане в сила на нови акцизни ставки</w:t>
      </w:r>
    </w:p>
    <w:p w14:paraId="71308F84" w14:textId="77777777" w:rsidR="008969AB" w:rsidRPr="004240BB" w:rsidRDefault="008969AB" w:rsidP="008969AB">
      <w:pPr>
        <w:ind w:firstLine="643"/>
        <w:jc w:val="both"/>
        <w:rPr>
          <w:lang w:eastAsia="bg-BG"/>
        </w:rPr>
      </w:pPr>
      <w:r w:rsidRPr="004240BB">
        <w:rPr>
          <w:lang w:eastAsia="bg-BG"/>
        </w:rPr>
        <w:t xml:space="preserve">Направени са изменения и допълнения в действащата разпоредба на чл. 64, ал. 8 и 9, с които се въвежда правна норма по отношение на ограничаването на броя на заявявани и получавани бандероли от данъчнозадължените лица. Следва да се отбележи, че с нормативната промяна не се препятства дейността на засегнатите лица, тъй като е осигурена възможност във всеки един момент икономическият оператор да може да разполага с брой </w:t>
      </w:r>
      <w:proofErr w:type="spellStart"/>
      <w:r w:rsidRPr="004240BB">
        <w:rPr>
          <w:lang w:eastAsia="bg-BG"/>
        </w:rPr>
        <w:t>необлепени</w:t>
      </w:r>
      <w:proofErr w:type="spellEnd"/>
      <w:r w:rsidRPr="004240BB">
        <w:rPr>
          <w:lang w:eastAsia="bg-BG"/>
        </w:rPr>
        <w:t xml:space="preserve"> бандероли, който не надвишава сумата от предадения му брой бандероли през последните три месеца, съответно през предходните шест месеца за алкохолните напитки. На практика това означава, че дори при увеличаване на икономическата си активност три пъти над обичайната, икономическият оператор ще може да удовлетвори нуждите си от брой бандероли. Редакцията на алинея 9 на чл. 64 от проекта създава възможност при </w:t>
      </w:r>
      <w:proofErr w:type="spellStart"/>
      <w:r w:rsidRPr="004240BB">
        <w:rPr>
          <w:lang w:eastAsia="bg-BG"/>
        </w:rPr>
        <w:t>разполагаемост</w:t>
      </w:r>
      <w:proofErr w:type="spellEnd"/>
      <w:r w:rsidRPr="004240BB">
        <w:rPr>
          <w:lang w:eastAsia="bg-BG"/>
        </w:rPr>
        <w:t xml:space="preserve"> с брой бандероли под сумата на предадените за последните три/шест месеца, лицето да може да поиска и да му бъдат предоставени допълнителен брой бандероли. </w:t>
      </w:r>
    </w:p>
    <w:p w14:paraId="6EFEBE4D" w14:textId="77777777" w:rsidR="008969AB" w:rsidRPr="004240BB" w:rsidRDefault="008969AB" w:rsidP="008969AB">
      <w:pPr>
        <w:jc w:val="both"/>
        <w:rPr>
          <w:sz w:val="14"/>
          <w:lang w:eastAsia="bg-BG"/>
        </w:rPr>
      </w:pPr>
    </w:p>
    <w:p w14:paraId="3DD779D9" w14:textId="77777777" w:rsidR="008969AB" w:rsidRPr="004240BB" w:rsidRDefault="008969AB" w:rsidP="008969AB">
      <w:pPr>
        <w:numPr>
          <w:ilvl w:val="0"/>
          <w:numId w:val="31"/>
        </w:numPr>
        <w:spacing w:after="120"/>
        <w:ind w:left="641" w:hanging="357"/>
        <w:jc w:val="both"/>
        <w:rPr>
          <w:b/>
          <w:bCs/>
          <w:i/>
          <w:lang w:eastAsia="bg-BG"/>
        </w:rPr>
      </w:pPr>
      <w:r w:rsidRPr="004240BB">
        <w:rPr>
          <w:b/>
          <w:bCs/>
          <w:i/>
          <w:lang w:eastAsia="bg-BG"/>
        </w:rPr>
        <w:t>Въвеждане на задължение за временно сертифицираните получатели да подават съобщение за получаване чрез компютърната система, при получаване на акцизните стоки и допълване на хипотезите за движение на акцизни стоки, освободени за потребление на територията на друга държава членка с електронен опростен административен документ</w:t>
      </w:r>
    </w:p>
    <w:p w14:paraId="0E6A46A3" w14:textId="77777777" w:rsidR="008969AB" w:rsidRPr="004240BB" w:rsidRDefault="00BD4895" w:rsidP="008969AB">
      <w:pPr>
        <w:ind w:firstLine="643"/>
        <w:jc w:val="both"/>
        <w:rPr>
          <w:lang w:eastAsia="bg-BG"/>
        </w:rPr>
      </w:pPr>
      <w:r>
        <w:rPr>
          <w:lang w:eastAsia="bg-BG"/>
        </w:rPr>
        <w:t>Д</w:t>
      </w:r>
      <w:r w:rsidRPr="004240BB">
        <w:rPr>
          <w:lang w:eastAsia="bg-BG"/>
        </w:rPr>
        <w:t>опълнение</w:t>
      </w:r>
      <w:r>
        <w:rPr>
          <w:lang w:eastAsia="bg-BG"/>
        </w:rPr>
        <w:t>то</w:t>
      </w:r>
      <w:r w:rsidRPr="004240BB">
        <w:rPr>
          <w:lang w:eastAsia="bg-BG"/>
        </w:rPr>
        <w:t xml:space="preserve"> в разпоредбата на чл. 76з, ал. 1 на ЗАДС </w:t>
      </w:r>
      <w:r>
        <w:rPr>
          <w:lang w:eastAsia="bg-BG"/>
        </w:rPr>
        <w:t xml:space="preserve">е </w:t>
      </w:r>
      <w:r w:rsidRPr="004240BB">
        <w:rPr>
          <w:lang w:eastAsia="bg-BG"/>
        </w:rPr>
        <w:t>с цел временно сертифицирания получател при получаване на акцизни стоки на територията на страната да подава към митническите органи съобщение чрез компютърната система. Правната норма се прилага при движение на акцизни стоки, освободени за потребление на територията на друга държава членка с електронен опростен административен документ, което засяга регистрацията на сертифициран получател и на временно сертифицирания получател. Лицата, които получават акцизни стоки на територията на страната, които са освободени за потребление на територията на другата държава членка, имат задължение при получаване на акцизните стоки да подадат в компютърната система не по-късно от 5 работни дни, съобщение за получаване</w:t>
      </w:r>
      <w:r w:rsidR="008969AB" w:rsidRPr="004240BB">
        <w:rPr>
          <w:lang w:eastAsia="bg-BG"/>
        </w:rPr>
        <w:t>.</w:t>
      </w:r>
    </w:p>
    <w:p w14:paraId="1E2495A9" w14:textId="77777777" w:rsidR="008969AB" w:rsidRDefault="008969AB" w:rsidP="008969AB">
      <w:pPr>
        <w:jc w:val="both"/>
        <w:rPr>
          <w:lang w:eastAsia="bg-BG"/>
        </w:rPr>
      </w:pPr>
      <w:r w:rsidRPr="004240BB">
        <w:rPr>
          <w:lang w:eastAsia="bg-BG"/>
        </w:rPr>
        <w:t xml:space="preserve">Приетата промяна в чл. 76з, ал. 8 от проекта посочва кога не следва да се прилагат разпоредбите на чл. 76з от закона, а именно „при движение на енергийни продукти с кодове по КН 2710 11 21, 2710 11 25 и 2710 19 29 в случаите, когато са в потребителски опаковки до 210 литра (наливно състояние, по смисъла на чл. 14, ал. 4)“. </w:t>
      </w:r>
    </w:p>
    <w:p w14:paraId="7C8E41F1" w14:textId="77777777" w:rsidR="008969AB" w:rsidRPr="004240BB" w:rsidRDefault="008969AB" w:rsidP="008969AB">
      <w:pPr>
        <w:jc w:val="both"/>
        <w:rPr>
          <w:sz w:val="14"/>
          <w:lang w:eastAsia="bg-BG"/>
        </w:rPr>
      </w:pPr>
    </w:p>
    <w:p w14:paraId="7884BAAD" w14:textId="77777777" w:rsidR="008969AB" w:rsidRPr="004240BB" w:rsidRDefault="008969AB" w:rsidP="008969AB">
      <w:pPr>
        <w:numPr>
          <w:ilvl w:val="0"/>
          <w:numId w:val="31"/>
        </w:numPr>
        <w:tabs>
          <w:tab w:val="left" w:pos="993"/>
        </w:tabs>
        <w:spacing w:after="120"/>
        <w:ind w:left="0" w:firstLine="709"/>
        <w:jc w:val="both"/>
        <w:rPr>
          <w:b/>
          <w:bCs/>
          <w:i/>
          <w:lang w:eastAsia="bg-BG"/>
        </w:rPr>
      </w:pPr>
      <w:r w:rsidRPr="004240BB">
        <w:rPr>
          <w:b/>
          <w:bCs/>
          <w:i/>
          <w:lang w:eastAsia="bg-BG"/>
        </w:rPr>
        <w:t xml:space="preserve">Подобряване на контролната дейност на митническите органи </w:t>
      </w:r>
    </w:p>
    <w:p w14:paraId="16FA7011" w14:textId="77777777" w:rsidR="008969AB" w:rsidRPr="004240BB" w:rsidRDefault="009F4ACA" w:rsidP="008969AB">
      <w:pPr>
        <w:ind w:firstLine="652"/>
        <w:jc w:val="both"/>
        <w:rPr>
          <w:lang w:eastAsia="bg-BG"/>
        </w:rPr>
      </w:pPr>
      <w:r w:rsidRPr="004240BB">
        <w:rPr>
          <w:lang w:eastAsia="bg-BG"/>
        </w:rPr>
        <w:t xml:space="preserve">Въведената нова алинея 11 в разпоредбата на чл. 99а от </w:t>
      </w:r>
      <w:r>
        <w:rPr>
          <w:lang w:eastAsia="bg-BG"/>
        </w:rPr>
        <w:t>ЗАДС</w:t>
      </w:r>
      <w:r w:rsidRPr="004240BB">
        <w:rPr>
          <w:lang w:eastAsia="bg-BG"/>
        </w:rPr>
        <w:t xml:space="preserve"> </w:t>
      </w:r>
      <w:r>
        <w:rPr>
          <w:lang w:eastAsia="bg-BG"/>
        </w:rPr>
        <w:t>регламентира</w:t>
      </w:r>
      <w:r w:rsidRPr="004240BB">
        <w:rPr>
          <w:lang w:eastAsia="bg-BG"/>
        </w:rPr>
        <w:t xml:space="preserve"> физическите лица да могат да изпращат до или да получават от друга държава членка пощенски пратки съдържащи тютюневи изделия и алкохолни напитки, предназначени за лична или семейна употреба или за подаръци, когато стоките не са укрити, не надхвърлят количествените ограничения, предвидени за въвеждане и изпращане в правилника за прилагане на закона, лицата не са изпращали/получавали пощенски пратки през последните 30 дни и могат да докажат пред митническите органи предназначението и произхода на стоките. Регламентирането на конкретни ограничения за физическите лица при изпращане/получаване на акцизни стоки в пощенски и други пратки и товари, цели да ограничи възможността за осъществяване на незаконна търговия в други държави членки</w:t>
      </w:r>
      <w:r w:rsidR="008969AB" w:rsidRPr="004240BB">
        <w:rPr>
          <w:lang w:eastAsia="bg-BG"/>
        </w:rPr>
        <w:t xml:space="preserve">. </w:t>
      </w:r>
    </w:p>
    <w:p w14:paraId="20AA0156" w14:textId="77777777" w:rsidR="008969AB" w:rsidRPr="004240BB" w:rsidRDefault="008969AB" w:rsidP="008969AB">
      <w:pPr>
        <w:jc w:val="both"/>
        <w:rPr>
          <w:lang w:eastAsia="bg-BG"/>
        </w:rPr>
      </w:pPr>
      <w:bookmarkStart w:id="20" w:name="p46759932"/>
      <w:bookmarkEnd w:id="20"/>
    </w:p>
    <w:p w14:paraId="35020CD2" w14:textId="77777777" w:rsidR="008969AB" w:rsidRPr="004240BB" w:rsidRDefault="008969AB" w:rsidP="008969AB">
      <w:pPr>
        <w:numPr>
          <w:ilvl w:val="0"/>
          <w:numId w:val="31"/>
        </w:numPr>
        <w:tabs>
          <w:tab w:val="left" w:pos="993"/>
        </w:tabs>
        <w:spacing w:after="120"/>
        <w:ind w:left="0" w:firstLine="709"/>
        <w:jc w:val="both"/>
        <w:rPr>
          <w:b/>
          <w:bCs/>
          <w:i/>
          <w:lang w:eastAsia="bg-BG"/>
        </w:rPr>
      </w:pPr>
      <w:r w:rsidRPr="004240BB">
        <w:rPr>
          <w:b/>
          <w:bCs/>
          <w:i/>
          <w:lang w:eastAsia="bg-BG"/>
        </w:rPr>
        <w:t>Тематични проверки на НАП в дружества предоставящи "лизинг на персонал"</w:t>
      </w:r>
    </w:p>
    <w:p w14:paraId="2AB2A031" w14:textId="0D80D9CE" w:rsidR="008969AB" w:rsidRPr="004240BB" w:rsidRDefault="008969AB" w:rsidP="008969AB">
      <w:pPr>
        <w:ind w:firstLine="652"/>
        <w:jc w:val="both"/>
        <w:rPr>
          <w:lang w:eastAsia="bg-BG"/>
        </w:rPr>
      </w:pPr>
      <w:r w:rsidRPr="004240BB">
        <w:rPr>
          <w:lang w:eastAsia="bg-BG"/>
        </w:rPr>
        <w:t>С новата разпоредба на чл. 74л, ал. 7 от Закона за насърчаване на заетостта се въвежда солидарна отговорност между юридическото лице, предоставящо услугата „лизинг на персонал“ и лицето, ползващо услугата</w:t>
      </w:r>
      <w:r w:rsidR="00A848B2">
        <w:rPr>
          <w:lang w:eastAsia="bg-BG"/>
        </w:rPr>
        <w:t>,</w:t>
      </w:r>
      <w:r w:rsidRPr="004240BB">
        <w:rPr>
          <w:lang w:eastAsia="bg-BG"/>
        </w:rPr>
        <w:t xml:space="preserve"> в случай че дължимите данъци и осигуровки не са начислени и внесени своевременно.</w:t>
      </w:r>
    </w:p>
    <w:p w14:paraId="21B851B8" w14:textId="77777777" w:rsidR="008969AB" w:rsidRPr="004240BB" w:rsidRDefault="008969AB" w:rsidP="008969AB">
      <w:pPr>
        <w:jc w:val="both"/>
        <w:rPr>
          <w:lang w:eastAsia="bg-BG"/>
        </w:rPr>
      </w:pPr>
    </w:p>
    <w:p w14:paraId="3723B21F" w14:textId="77777777" w:rsidR="00AE3436" w:rsidRPr="004240BB" w:rsidRDefault="008969AB" w:rsidP="00AE3436">
      <w:pPr>
        <w:ind w:firstLine="706"/>
        <w:jc w:val="both"/>
        <w:rPr>
          <w:lang w:eastAsia="bg-BG"/>
        </w:rPr>
      </w:pPr>
      <w:r w:rsidRPr="004240BB">
        <w:rPr>
          <w:lang w:eastAsia="bg-BG"/>
        </w:rPr>
        <w:t xml:space="preserve">В </w:t>
      </w:r>
      <w:r w:rsidRPr="004240BB">
        <w:rPr>
          <w:b/>
          <w:i/>
          <w:u w:val="single"/>
          <w:lang w:eastAsia="bg-BG"/>
        </w:rPr>
        <w:t>Закона за държавния бюджет на Република България за 2025 г.</w:t>
      </w:r>
      <w:r w:rsidRPr="004240BB">
        <w:rPr>
          <w:lang w:eastAsia="bg-BG"/>
        </w:rPr>
        <w:t xml:space="preserve"> и актуализираната </w:t>
      </w:r>
      <w:r w:rsidR="00AE3436" w:rsidRPr="004240BB">
        <w:rPr>
          <w:lang w:eastAsia="bg-BG"/>
        </w:rPr>
        <w:t>средносрочна бюджетна прогноза (АСБП) за периода 2025-2028 г., която представлява мотивите към законопроекта, са заложени и следните параметри:</w:t>
      </w:r>
    </w:p>
    <w:p w14:paraId="6F752487" w14:textId="77777777" w:rsidR="00AE3436" w:rsidRPr="004240BB" w:rsidRDefault="00AE3436" w:rsidP="00AE3436">
      <w:pPr>
        <w:numPr>
          <w:ilvl w:val="0"/>
          <w:numId w:val="36"/>
        </w:numPr>
        <w:jc w:val="both"/>
        <w:rPr>
          <w:lang w:eastAsia="bg-BG"/>
        </w:rPr>
      </w:pPr>
      <w:r>
        <w:rPr>
          <w:lang w:eastAsia="bg-BG"/>
        </w:rPr>
        <w:t>З</w:t>
      </w:r>
      <w:r w:rsidRPr="004240BB">
        <w:rPr>
          <w:lang w:eastAsia="bg-BG"/>
        </w:rPr>
        <w:t>апаз</w:t>
      </w:r>
      <w:r>
        <w:rPr>
          <w:lang w:eastAsia="bg-BG"/>
        </w:rPr>
        <w:t>ват</w:t>
      </w:r>
      <w:r w:rsidRPr="004240BB">
        <w:rPr>
          <w:lang w:eastAsia="bg-BG"/>
        </w:rPr>
        <w:t xml:space="preserve"> </w:t>
      </w:r>
      <w:r>
        <w:rPr>
          <w:lang w:eastAsia="bg-BG"/>
        </w:rPr>
        <w:t xml:space="preserve">се </w:t>
      </w:r>
      <w:r w:rsidRPr="004240BB">
        <w:rPr>
          <w:lang w:eastAsia="bg-BG"/>
        </w:rPr>
        <w:t>размера на общата годишна квота за предоставяне на ваучери за храна (1,6 млрд. лв.) и общия размер на сумата, подлежаща за възстановяване на земеделските стопани от акциза за газьола в съответствие със ЗДБРБ за 2024 г. (ДБ, бр. 108, от дата 30.12.2023 г.) - 100 млн. лв..</w:t>
      </w:r>
    </w:p>
    <w:p w14:paraId="7C074401" w14:textId="77777777" w:rsidR="00AE3436" w:rsidRPr="004240BB" w:rsidRDefault="00AE3436" w:rsidP="00AE3436">
      <w:pPr>
        <w:numPr>
          <w:ilvl w:val="0"/>
          <w:numId w:val="36"/>
        </w:numPr>
        <w:jc w:val="both"/>
        <w:rPr>
          <w:lang w:eastAsia="bg-BG"/>
        </w:rPr>
      </w:pPr>
      <w:r w:rsidRPr="004240BB">
        <w:rPr>
          <w:lang w:eastAsia="bg-BG"/>
        </w:rPr>
        <w:t>Ползване в увеличен размер на данъчните облекчения по чл. 22в и 22г от ЗДДФЛ (за деца и за деца с увреждания) и през 2025 г., както следва: 6 000 лв. годишно за едно ненавършило пълнолетие дете, 12 000 лв. - за две ненавършили пълнолетие деца, 18 000 лв. - за три и повече ненавършили пълнолетие деца и съответно, за деца с увреждания в размер на 12 000 лв. годишно, с възможност за авансово ползване през годината</w:t>
      </w:r>
    </w:p>
    <w:p w14:paraId="3DC8C908" w14:textId="77777777" w:rsidR="00AE3436" w:rsidRPr="004240BB" w:rsidRDefault="00AE3436" w:rsidP="00AE3436">
      <w:pPr>
        <w:numPr>
          <w:ilvl w:val="0"/>
          <w:numId w:val="36"/>
        </w:numPr>
        <w:jc w:val="both"/>
        <w:rPr>
          <w:lang w:eastAsia="bg-BG"/>
        </w:rPr>
      </w:pPr>
      <w:r w:rsidRPr="004240BB">
        <w:rPr>
          <w:lang w:eastAsia="bg-BG"/>
        </w:rPr>
        <w:t>След 31.12.2024 г. се прилага стандартна 20 % ставка на ДДС</w:t>
      </w:r>
      <w:r>
        <w:rPr>
          <w:lang w:eastAsia="bg-BG"/>
        </w:rPr>
        <w:t>, както</w:t>
      </w:r>
      <w:r w:rsidRPr="004240BB">
        <w:rPr>
          <w:lang w:eastAsia="bg-BG"/>
        </w:rPr>
        <w:t xml:space="preserve"> за доставк</w:t>
      </w:r>
      <w:r>
        <w:rPr>
          <w:lang w:eastAsia="bg-BG"/>
        </w:rPr>
        <w:t>ите</w:t>
      </w:r>
      <w:r w:rsidRPr="004240BB">
        <w:rPr>
          <w:lang w:eastAsia="bg-BG"/>
        </w:rPr>
        <w:t xml:space="preserve"> на хляб</w:t>
      </w:r>
      <w:r>
        <w:rPr>
          <w:lang w:eastAsia="bg-BG"/>
        </w:rPr>
        <w:t>а</w:t>
      </w:r>
      <w:r w:rsidRPr="004240BB">
        <w:rPr>
          <w:lang w:eastAsia="bg-BG"/>
        </w:rPr>
        <w:t xml:space="preserve"> </w:t>
      </w:r>
      <w:r>
        <w:rPr>
          <w:lang w:eastAsia="bg-BG"/>
        </w:rPr>
        <w:t xml:space="preserve">и брашното, така </w:t>
      </w:r>
      <w:r w:rsidRPr="004240BB">
        <w:rPr>
          <w:lang w:eastAsia="bg-BG"/>
        </w:rPr>
        <w:t>и за доставките на ресторантьорски и кетъринг услуги.</w:t>
      </w:r>
    </w:p>
    <w:p w14:paraId="5AD51CAF" w14:textId="77777777" w:rsidR="00AE3436" w:rsidRPr="004240BB" w:rsidRDefault="00AE3436" w:rsidP="00AE3436">
      <w:pPr>
        <w:ind w:firstLine="706"/>
        <w:jc w:val="both"/>
        <w:rPr>
          <w:lang w:eastAsia="bg-BG"/>
        </w:rPr>
      </w:pPr>
    </w:p>
    <w:p w14:paraId="3CBA4B2D" w14:textId="77777777" w:rsidR="00AE3436" w:rsidRPr="004240BB" w:rsidRDefault="00AE3436" w:rsidP="00AE3436">
      <w:pPr>
        <w:tabs>
          <w:tab w:val="left" w:pos="709"/>
        </w:tabs>
        <w:ind w:right="-39" w:firstLine="709"/>
        <w:jc w:val="both"/>
        <w:rPr>
          <w:lang w:eastAsia="bg-BG"/>
        </w:rPr>
      </w:pPr>
      <w:r w:rsidRPr="004240BB">
        <w:rPr>
          <w:u w:val="single"/>
          <w:lang w:eastAsia="bg-BG"/>
        </w:rPr>
        <w:t>През 2025 г. продължава действието на приетите в предходната година данъчни изменения</w:t>
      </w:r>
      <w:r w:rsidRPr="004240BB">
        <w:rPr>
          <w:lang w:eastAsia="bg-BG"/>
        </w:rPr>
        <w:t>:</w:t>
      </w:r>
    </w:p>
    <w:p w14:paraId="51E2E2E0" w14:textId="77777777" w:rsidR="00AE3436" w:rsidRPr="004240BB" w:rsidRDefault="00AE3436" w:rsidP="00AE3436">
      <w:pPr>
        <w:numPr>
          <w:ilvl w:val="0"/>
          <w:numId w:val="24"/>
        </w:numPr>
        <w:tabs>
          <w:tab w:val="left" w:pos="709"/>
        </w:tabs>
        <w:spacing w:after="120"/>
        <w:ind w:left="0" w:firstLine="425"/>
        <w:jc w:val="both"/>
        <w:rPr>
          <w:bCs/>
          <w:iCs/>
          <w:lang w:eastAsia="bg-BG"/>
        </w:rPr>
      </w:pPr>
      <w:r w:rsidRPr="004240BB">
        <w:rPr>
          <w:bCs/>
          <w:iCs/>
          <w:lang w:eastAsia="bg-BG"/>
        </w:rPr>
        <w:t xml:space="preserve">Постановено е положително решение на ЕК относно съответствие с Насоките за регионална държавна помощ (2021/C 153/01) за прилагане на нова схема на </w:t>
      </w:r>
      <w:r w:rsidRPr="004240BB">
        <w:rPr>
          <w:b/>
          <w:bCs/>
          <w:iCs/>
          <w:lang w:eastAsia="bg-BG"/>
        </w:rPr>
        <w:t>данъчното облекчение, представляващо държавна помощ за регионално развитие</w:t>
      </w:r>
      <w:r w:rsidRPr="004240BB">
        <w:rPr>
          <w:bCs/>
          <w:iCs/>
          <w:lang w:eastAsia="bg-BG"/>
        </w:rPr>
        <w:t>, с което започна преотстъпването на корпоративен данък съгласно чл. 184 във връзка с чл. 189 от ЗКПО</w:t>
      </w:r>
      <w:r w:rsidRPr="00CF2541">
        <w:rPr>
          <w:bCs/>
          <w:vertAlign w:val="superscript"/>
          <w:lang w:eastAsia="bg-BG"/>
        </w:rPr>
        <w:footnoteReference w:id="8"/>
      </w:r>
      <w:r w:rsidRPr="004240BB">
        <w:rPr>
          <w:bCs/>
          <w:iCs/>
          <w:lang w:eastAsia="bg-BG"/>
        </w:rPr>
        <w:t>, което да се прилага в срок до 31 декември 2027 г. Данъчната преференция се предоставя с цел да насърчи икономическата активност на МСП</w:t>
      </w:r>
      <w:r w:rsidRPr="00CF2541">
        <w:rPr>
          <w:bCs/>
          <w:iCs/>
          <w:sz w:val="20"/>
          <w:vertAlign w:val="superscript"/>
          <w:lang w:eastAsia="bg-BG"/>
        </w:rPr>
        <w:footnoteReference w:id="9"/>
      </w:r>
      <w:r w:rsidRPr="004240BB">
        <w:rPr>
          <w:bCs/>
          <w:iCs/>
          <w:lang w:eastAsia="bg-BG"/>
        </w:rPr>
        <w:t>, като ги стимулира да инвестират в материални и нематериални активи в предприятия, намиращи се в общини с безработица, по-висока от средната за страната, като се очаква така да се запазят или увеличат нивата на заетост в тези общини;</w:t>
      </w:r>
    </w:p>
    <w:p w14:paraId="082689F0" w14:textId="77777777" w:rsidR="00AE3436" w:rsidRPr="006726C4" w:rsidRDefault="00AE3436" w:rsidP="00AE3436">
      <w:pPr>
        <w:numPr>
          <w:ilvl w:val="0"/>
          <w:numId w:val="24"/>
        </w:numPr>
        <w:tabs>
          <w:tab w:val="left" w:pos="709"/>
        </w:tabs>
        <w:spacing w:after="120"/>
        <w:ind w:left="0" w:firstLine="425"/>
        <w:jc w:val="both"/>
        <w:rPr>
          <w:bCs/>
          <w:iCs/>
          <w:lang w:eastAsia="bg-BG"/>
        </w:rPr>
      </w:pPr>
      <w:r w:rsidRPr="006726C4">
        <w:rPr>
          <w:bCs/>
          <w:iCs/>
          <w:lang w:eastAsia="bg-BG"/>
        </w:rPr>
        <w:t>От началото на 2024 г. бяха въведени електронни ваучери за храна с цел намаляване на административната тежест чрез дигитализация и осигуряване на по-конкурентна среда за всички лица, участващи в схемата за данъчното облекчение – оператори на ваучери за храна, работодатели, наети лица и други. След изтичането на шестмесечния преходен период, през който функционираха както ваучерите за храна на хартиен носител, така и електронните ваучери за храна, от 1 юли 2024 г. се премина изцяло към ваучери за храна на електронен носител (чл. 59 от ЗДБРБ, ДВ брой: 108, от дата 30.12.2023 г.).</w:t>
      </w:r>
    </w:p>
    <w:p w14:paraId="49867881" w14:textId="77777777" w:rsidR="00AE3436" w:rsidRPr="001712E8" w:rsidRDefault="00AE3436" w:rsidP="0052707E">
      <w:pPr>
        <w:pStyle w:val="ListParagraph"/>
        <w:numPr>
          <w:ilvl w:val="0"/>
          <w:numId w:val="24"/>
        </w:numPr>
        <w:tabs>
          <w:tab w:val="left" w:pos="709"/>
        </w:tabs>
        <w:spacing w:line="240" w:lineRule="auto"/>
        <w:ind w:left="0" w:firstLine="426"/>
        <w:contextualSpacing w:val="0"/>
      </w:pPr>
      <w:r w:rsidRPr="0052707E">
        <w:rPr>
          <w:rFonts w:ascii="Times New Roman" w:hAnsi="Times New Roman"/>
          <w:bCs/>
          <w:iCs/>
          <w:szCs w:val="24"/>
          <w:lang w:eastAsia="bg-BG"/>
        </w:rPr>
        <w:t>С измененията на ДОПК (ДВ, бр. 66 от 2023 г., в сила от 1.10.2023 г.) и приемането на</w:t>
      </w:r>
      <w:r w:rsidRPr="00F90DE2">
        <w:rPr>
          <w:rFonts w:ascii="Times New Roman" w:eastAsia="Calibri" w:hAnsi="Times New Roman"/>
          <w:szCs w:val="24"/>
        </w:rPr>
        <w:t xml:space="preserve"> Наредба Н-5 от 29.09.2023 г. за условията за осъществяване на фискален контрол върху движението на стоки с висок фискален риск на територията на Република България (ДВ, бр. 83 от 3.10.2023 г., в сила от 3.10.2023 г.)</w:t>
      </w:r>
      <w:r>
        <w:rPr>
          <w:rFonts w:ascii="Times New Roman" w:eastAsia="Calibri" w:hAnsi="Times New Roman"/>
          <w:szCs w:val="24"/>
        </w:rPr>
        <w:t xml:space="preserve"> беше</w:t>
      </w:r>
      <w:r w:rsidRPr="00F90DE2">
        <w:rPr>
          <w:rFonts w:ascii="Times New Roman" w:eastAsia="Calibri" w:hAnsi="Times New Roman"/>
          <w:szCs w:val="24"/>
        </w:rPr>
        <w:t xml:space="preserve"> </w:t>
      </w:r>
      <w:r>
        <w:rPr>
          <w:rFonts w:ascii="Times New Roman" w:eastAsia="Calibri" w:hAnsi="Times New Roman"/>
          <w:szCs w:val="24"/>
        </w:rPr>
        <w:t>въведено</w:t>
      </w:r>
      <w:r w:rsidRPr="00CF2541">
        <w:rPr>
          <w:rFonts w:ascii="Times New Roman" w:eastAsia="Calibri" w:hAnsi="Times New Roman"/>
          <w:szCs w:val="24"/>
        </w:rPr>
        <w:t xml:space="preserve"> задължително предварително деклариране на данни за превозите на стоки с висок фискален риск на територията на Република България с цел надграждане и усъвършенстване на фискалния контрол (ДВ, бр. 66 от 2023 г.). </w:t>
      </w:r>
      <w:r w:rsidRPr="00F129CE">
        <w:rPr>
          <w:rFonts w:ascii="Times New Roman" w:eastAsia="Calibri" w:hAnsi="Times New Roman"/>
          <w:szCs w:val="24"/>
        </w:rPr>
        <w:t xml:space="preserve">Мярката цели по-ефективна превенция и противодействие на данъчните измами и укриването и </w:t>
      </w:r>
      <w:proofErr w:type="spellStart"/>
      <w:r w:rsidRPr="00F129CE">
        <w:rPr>
          <w:rFonts w:ascii="Times New Roman" w:eastAsia="Calibri" w:hAnsi="Times New Roman"/>
          <w:szCs w:val="24"/>
        </w:rPr>
        <w:t>неплащането</w:t>
      </w:r>
      <w:proofErr w:type="spellEnd"/>
      <w:r w:rsidRPr="00F129CE">
        <w:rPr>
          <w:rFonts w:ascii="Times New Roman" w:eastAsia="Calibri" w:hAnsi="Times New Roman"/>
          <w:szCs w:val="24"/>
        </w:rPr>
        <w:t xml:space="preserve"> на данъци</w:t>
      </w:r>
      <w:r>
        <w:rPr>
          <w:rFonts w:ascii="Times New Roman" w:eastAsia="Calibri" w:hAnsi="Times New Roman"/>
          <w:szCs w:val="24"/>
        </w:rPr>
        <w:t>. Обхватът на м</w:t>
      </w:r>
      <w:r w:rsidRPr="00CF2541">
        <w:rPr>
          <w:rFonts w:ascii="Times New Roman" w:eastAsia="Calibri" w:hAnsi="Times New Roman"/>
          <w:szCs w:val="24"/>
        </w:rPr>
        <w:t>ярка</w:t>
      </w:r>
      <w:r>
        <w:rPr>
          <w:rFonts w:ascii="Times New Roman" w:eastAsia="Calibri" w:hAnsi="Times New Roman"/>
          <w:szCs w:val="24"/>
        </w:rPr>
        <w:t>та</w:t>
      </w:r>
      <w:r w:rsidRPr="00CF2541">
        <w:rPr>
          <w:rFonts w:ascii="Times New Roman" w:eastAsia="Calibri" w:hAnsi="Times New Roman"/>
          <w:szCs w:val="24"/>
        </w:rPr>
        <w:t xml:space="preserve"> беше разшире</w:t>
      </w:r>
      <w:r>
        <w:rPr>
          <w:rFonts w:ascii="Times New Roman" w:eastAsia="Calibri" w:hAnsi="Times New Roman"/>
          <w:szCs w:val="24"/>
        </w:rPr>
        <w:t>н</w:t>
      </w:r>
      <w:r w:rsidRPr="008645A3">
        <w:rPr>
          <w:rFonts w:ascii="Times New Roman" w:eastAsia="Calibri" w:hAnsi="Times New Roman"/>
          <w:szCs w:val="24"/>
        </w:rPr>
        <w:t xml:space="preserve"> </w:t>
      </w:r>
      <w:r>
        <w:rPr>
          <w:rFonts w:ascii="Times New Roman" w:eastAsia="Calibri" w:hAnsi="Times New Roman"/>
          <w:szCs w:val="24"/>
        </w:rPr>
        <w:t>о</w:t>
      </w:r>
      <w:r w:rsidRPr="005164D2">
        <w:rPr>
          <w:rFonts w:ascii="Times New Roman" w:eastAsia="Calibri" w:hAnsi="Times New Roman"/>
          <w:szCs w:val="24"/>
        </w:rPr>
        <w:t>т 3 януари 2024 г.</w:t>
      </w:r>
      <w:r w:rsidRPr="00CF2541">
        <w:rPr>
          <w:rFonts w:ascii="Times New Roman" w:eastAsia="Calibri" w:hAnsi="Times New Roman"/>
          <w:szCs w:val="24"/>
        </w:rPr>
        <w:t xml:space="preserve"> като се добавя декларирането на стоки с висок фискален риск, започващи от територията на трета държава и завършващи на територията на страната, както и когато започват и завършват на територията на страната. </w:t>
      </w:r>
      <w:r>
        <w:rPr>
          <w:rFonts w:ascii="Times New Roman" w:eastAsia="Calibri" w:hAnsi="Times New Roman"/>
          <w:szCs w:val="24"/>
        </w:rPr>
        <w:t xml:space="preserve">С издадената през тази година </w:t>
      </w:r>
      <w:r w:rsidRPr="00CF2541">
        <w:rPr>
          <w:rFonts w:ascii="Times New Roman" w:eastAsia="Calibri" w:hAnsi="Times New Roman"/>
          <w:szCs w:val="24"/>
        </w:rPr>
        <w:t>Заповед № ЗМФ-237/31.03.2025 г. на министъра на финансите</w:t>
      </w:r>
      <w:r>
        <w:rPr>
          <w:rFonts w:ascii="Times New Roman" w:eastAsia="Calibri" w:hAnsi="Times New Roman"/>
          <w:szCs w:val="24"/>
        </w:rPr>
        <w:t xml:space="preserve"> е разширен обхватът на мярката и по отношение на стоките, за които се прилага, като е </w:t>
      </w:r>
      <w:r w:rsidRPr="00CF2541">
        <w:rPr>
          <w:rFonts w:ascii="Times New Roman" w:eastAsia="Calibri" w:hAnsi="Times New Roman"/>
          <w:szCs w:val="24"/>
        </w:rPr>
        <w:t>допъл</w:t>
      </w:r>
      <w:r>
        <w:rPr>
          <w:rFonts w:ascii="Times New Roman" w:eastAsia="Calibri" w:hAnsi="Times New Roman"/>
          <w:szCs w:val="24"/>
        </w:rPr>
        <w:t>нен</w:t>
      </w:r>
      <w:r w:rsidRPr="00CF2541">
        <w:rPr>
          <w:rFonts w:ascii="Times New Roman" w:eastAsia="Calibri" w:hAnsi="Times New Roman"/>
          <w:szCs w:val="24"/>
        </w:rPr>
        <w:t xml:space="preserve"> списъка на стоките с висок фискален риск</w:t>
      </w:r>
      <w:r w:rsidRPr="00F129CE">
        <w:rPr>
          <w:rFonts w:ascii="Times New Roman" w:eastAsia="Calibri" w:hAnsi="Times New Roman"/>
          <w:szCs w:val="24"/>
        </w:rPr>
        <w:t>;</w:t>
      </w:r>
    </w:p>
    <w:p w14:paraId="46C9CF2B" w14:textId="77777777" w:rsidR="008969AB" w:rsidRPr="00716094" w:rsidRDefault="008969AB" w:rsidP="00AE3436">
      <w:pPr>
        <w:ind w:firstLine="706"/>
        <w:jc w:val="both"/>
        <w:rPr>
          <w:bCs/>
          <w:color w:val="0070C0"/>
          <w:lang w:eastAsia="bg-BG"/>
        </w:rPr>
      </w:pPr>
      <w:r w:rsidRPr="00716094">
        <w:rPr>
          <w:bCs/>
          <w:color w:val="0070C0"/>
          <w:lang w:eastAsia="bg-BG"/>
        </w:rPr>
        <w:br w:type="page"/>
      </w:r>
    </w:p>
    <w:p w14:paraId="471D8A73" w14:textId="77777777" w:rsidR="008969AB" w:rsidRPr="005B2017" w:rsidRDefault="008969AB" w:rsidP="008969AB">
      <w:pPr>
        <w:keepNext/>
        <w:numPr>
          <w:ilvl w:val="0"/>
          <w:numId w:val="8"/>
        </w:numPr>
        <w:spacing w:before="360"/>
        <w:ind w:left="533" w:right="-108" w:hanging="391"/>
        <w:jc w:val="both"/>
        <w:outlineLvl w:val="0"/>
        <w:rPr>
          <w:b/>
          <w:bCs/>
        </w:rPr>
      </w:pPr>
      <w:r w:rsidRPr="005B2017">
        <w:rPr>
          <w:b/>
          <w:bCs/>
        </w:rPr>
        <w:t>Изпълнение на държавния бюджет</w:t>
      </w:r>
      <w:r w:rsidRPr="005B2017">
        <w:rPr>
          <w:b/>
          <w:sz w:val="20"/>
          <w:szCs w:val="20"/>
          <w:vertAlign w:val="superscript"/>
        </w:rPr>
        <w:footnoteReference w:id="10"/>
      </w:r>
      <w:r w:rsidRPr="005B2017">
        <w:rPr>
          <w:b/>
          <w:bCs/>
        </w:rPr>
        <w:t xml:space="preserve"> за първото тримесечие на 2025 г.</w:t>
      </w:r>
    </w:p>
    <w:p w14:paraId="535531D9" w14:textId="77777777" w:rsidR="008969AB" w:rsidRDefault="008969AB" w:rsidP="008969AB">
      <w:pPr>
        <w:pStyle w:val="BodyTextIndent"/>
        <w:tabs>
          <w:tab w:val="left" w:pos="1080"/>
        </w:tabs>
        <w:spacing w:before="120" w:after="0"/>
        <w:ind w:left="0"/>
        <w:jc w:val="both"/>
      </w:pPr>
      <w:r w:rsidRPr="00F43CDC">
        <w:t>Изпълнението на основните показатели по държавния бюджет, на база месечните отчети на първостепенните разпоредители с бюджет е, както следва:</w:t>
      </w:r>
    </w:p>
    <w:p w14:paraId="06662408" w14:textId="77777777" w:rsidR="008969AB" w:rsidRPr="00824461" w:rsidRDefault="008969AB" w:rsidP="008969AB">
      <w:pPr>
        <w:spacing w:after="120"/>
        <w:ind w:right="-244"/>
        <w:rPr>
          <w:b/>
          <w:bCs/>
          <w:sz w:val="20"/>
          <w:szCs w:val="20"/>
        </w:rPr>
      </w:pPr>
      <w:r w:rsidRPr="00824461">
        <w:rPr>
          <w:b/>
          <w:bCs/>
          <w:sz w:val="20"/>
          <w:szCs w:val="20"/>
        </w:rPr>
        <w:t>Таблица</w:t>
      </w:r>
      <w:r w:rsidRPr="00824461">
        <w:rPr>
          <w:rStyle w:val="FootnoteReference"/>
        </w:rPr>
        <w:footnoteReference w:id="11"/>
      </w:r>
      <w:r w:rsidRPr="00824461">
        <w:rPr>
          <w:b/>
          <w:bCs/>
          <w:sz w:val="20"/>
          <w:szCs w:val="20"/>
        </w:rPr>
        <w:t xml:space="preserve">  №1      </w:t>
      </w:r>
      <w:r w:rsidRPr="00824461">
        <w:rPr>
          <w:b/>
          <w:bCs/>
          <w:sz w:val="20"/>
          <w:szCs w:val="20"/>
        </w:rPr>
        <w:tab/>
      </w:r>
      <w:r w:rsidRPr="00824461">
        <w:rPr>
          <w:b/>
          <w:bCs/>
          <w:sz w:val="20"/>
          <w:szCs w:val="20"/>
        </w:rPr>
        <w:tab/>
        <w:t xml:space="preserve">                                          </w:t>
      </w:r>
      <w:r w:rsidRPr="00824461">
        <w:rPr>
          <w:b/>
          <w:bCs/>
          <w:sz w:val="20"/>
          <w:szCs w:val="20"/>
        </w:rPr>
        <w:tab/>
      </w:r>
      <w:r w:rsidRPr="00824461">
        <w:rPr>
          <w:b/>
          <w:bCs/>
          <w:sz w:val="20"/>
          <w:szCs w:val="20"/>
        </w:rPr>
        <w:tab/>
      </w:r>
      <w:r w:rsidRPr="00824461">
        <w:rPr>
          <w:b/>
          <w:bCs/>
          <w:sz w:val="20"/>
          <w:szCs w:val="20"/>
        </w:rPr>
        <w:tab/>
      </w:r>
      <w:r w:rsidRPr="00824461">
        <w:rPr>
          <w:b/>
          <w:bCs/>
          <w:sz w:val="20"/>
          <w:szCs w:val="20"/>
        </w:rPr>
        <w:tab/>
      </w:r>
      <w:r w:rsidRPr="00824461">
        <w:rPr>
          <w:b/>
          <w:bCs/>
          <w:sz w:val="20"/>
          <w:szCs w:val="20"/>
        </w:rPr>
        <w:tab/>
      </w:r>
      <w:r w:rsidRPr="00824461">
        <w:rPr>
          <w:b/>
          <w:bCs/>
          <w:sz w:val="20"/>
          <w:szCs w:val="20"/>
        </w:rPr>
        <w:tab/>
        <w:t>(млн. лв.)</w:t>
      </w:r>
    </w:p>
    <w:tbl>
      <w:tblPr>
        <w:tblW w:w="9050" w:type="dxa"/>
        <w:jc w:val="center"/>
        <w:tblCellMar>
          <w:left w:w="70" w:type="dxa"/>
          <w:right w:w="70" w:type="dxa"/>
        </w:tblCellMar>
        <w:tblLook w:val="0000" w:firstRow="0" w:lastRow="0" w:firstColumn="0" w:lastColumn="0" w:noHBand="0" w:noVBand="0"/>
      </w:tblPr>
      <w:tblGrid>
        <w:gridCol w:w="4854"/>
        <w:gridCol w:w="1276"/>
        <w:gridCol w:w="1616"/>
        <w:gridCol w:w="1304"/>
      </w:tblGrid>
      <w:tr w:rsidR="008969AB" w:rsidRPr="00AB0993" w14:paraId="05607C4B" w14:textId="77777777" w:rsidTr="00201AB8">
        <w:trPr>
          <w:trHeight w:val="520"/>
          <w:jc w:val="center"/>
        </w:trPr>
        <w:tc>
          <w:tcPr>
            <w:tcW w:w="4854" w:type="dxa"/>
            <w:tcBorders>
              <w:top w:val="single" w:sz="8" w:space="0" w:color="auto"/>
              <w:left w:val="single" w:sz="8" w:space="0" w:color="auto"/>
              <w:bottom w:val="nil"/>
              <w:right w:val="single" w:sz="8" w:space="0" w:color="auto"/>
            </w:tcBorders>
            <w:shd w:val="clear" w:color="auto" w:fill="auto"/>
            <w:noWrap/>
            <w:vAlign w:val="center"/>
          </w:tcPr>
          <w:p w14:paraId="1781045A" w14:textId="77777777" w:rsidR="008969AB" w:rsidRPr="00824461" w:rsidRDefault="008969AB" w:rsidP="00201AB8">
            <w:pPr>
              <w:jc w:val="center"/>
              <w:rPr>
                <w:b/>
                <w:bCs/>
                <w:sz w:val="18"/>
                <w:szCs w:val="18"/>
              </w:rPr>
            </w:pPr>
            <w:r w:rsidRPr="00824461">
              <w:rPr>
                <w:b/>
                <w:bCs/>
                <w:sz w:val="18"/>
                <w:szCs w:val="18"/>
              </w:rPr>
              <w:t>ПОКАЗАТЕЛИ</w:t>
            </w:r>
          </w:p>
        </w:tc>
        <w:tc>
          <w:tcPr>
            <w:tcW w:w="1276" w:type="dxa"/>
            <w:tcBorders>
              <w:top w:val="single" w:sz="8" w:space="0" w:color="auto"/>
              <w:left w:val="nil"/>
              <w:bottom w:val="single" w:sz="4" w:space="0" w:color="auto"/>
              <w:right w:val="nil"/>
            </w:tcBorders>
            <w:shd w:val="clear" w:color="auto" w:fill="auto"/>
            <w:vAlign w:val="center"/>
          </w:tcPr>
          <w:p w14:paraId="4B90A213" w14:textId="77777777" w:rsidR="008969AB" w:rsidRPr="008B7B8E" w:rsidRDefault="008969AB" w:rsidP="00201AB8">
            <w:pPr>
              <w:jc w:val="center"/>
              <w:rPr>
                <w:b/>
                <w:bCs/>
                <w:sz w:val="18"/>
                <w:szCs w:val="18"/>
              </w:rPr>
            </w:pPr>
            <w:r w:rsidRPr="008B7B8E">
              <w:rPr>
                <w:b/>
                <w:bCs/>
                <w:sz w:val="18"/>
                <w:szCs w:val="18"/>
              </w:rPr>
              <w:t xml:space="preserve">ЗДБРБ    </w:t>
            </w:r>
            <w:r w:rsidRPr="008B7B8E">
              <w:rPr>
                <w:b/>
                <w:bCs/>
                <w:sz w:val="18"/>
                <w:szCs w:val="18"/>
                <w:highlight w:val="yellow"/>
              </w:rPr>
              <w:t xml:space="preserve"> </w:t>
            </w:r>
            <w:r w:rsidRPr="008B7B8E">
              <w:rPr>
                <w:b/>
                <w:bCs/>
                <w:sz w:val="18"/>
                <w:szCs w:val="18"/>
              </w:rPr>
              <w:t>202</w:t>
            </w:r>
            <w:r>
              <w:rPr>
                <w:b/>
                <w:bCs/>
                <w:sz w:val="18"/>
                <w:szCs w:val="18"/>
              </w:rPr>
              <w:t>5</w:t>
            </w:r>
            <w:r w:rsidRPr="008B7B8E">
              <w:rPr>
                <w:b/>
                <w:bCs/>
                <w:sz w:val="18"/>
                <w:szCs w:val="18"/>
              </w:rPr>
              <w:t xml:space="preserve"> г.</w:t>
            </w:r>
          </w:p>
        </w:tc>
        <w:tc>
          <w:tcPr>
            <w:tcW w:w="1616" w:type="dxa"/>
            <w:tcBorders>
              <w:top w:val="single" w:sz="8" w:space="0" w:color="auto"/>
              <w:left w:val="nil"/>
              <w:bottom w:val="single" w:sz="4" w:space="0" w:color="auto"/>
              <w:right w:val="nil"/>
            </w:tcBorders>
            <w:shd w:val="clear" w:color="auto" w:fill="auto"/>
            <w:vAlign w:val="center"/>
          </w:tcPr>
          <w:p w14:paraId="06A68148" w14:textId="77777777" w:rsidR="008969AB" w:rsidRPr="00E6131F" w:rsidRDefault="008969AB" w:rsidP="00201AB8">
            <w:pPr>
              <w:jc w:val="center"/>
              <w:rPr>
                <w:b/>
                <w:bCs/>
                <w:sz w:val="18"/>
                <w:szCs w:val="18"/>
              </w:rPr>
            </w:pPr>
            <w:r w:rsidRPr="00E6131F">
              <w:rPr>
                <w:b/>
                <w:bCs/>
                <w:sz w:val="18"/>
                <w:szCs w:val="18"/>
              </w:rPr>
              <w:t xml:space="preserve">Отчет </w:t>
            </w:r>
          </w:p>
          <w:p w14:paraId="3CBA5A7C" w14:textId="77777777" w:rsidR="008969AB" w:rsidRPr="00E6131F" w:rsidRDefault="008969AB" w:rsidP="00201AB8">
            <w:pPr>
              <w:jc w:val="center"/>
              <w:rPr>
                <w:b/>
                <w:bCs/>
                <w:sz w:val="18"/>
                <w:szCs w:val="18"/>
              </w:rPr>
            </w:pPr>
            <w:r>
              <w:rPr>
                <w:b/>
                <w:bCs/>
                <w:sz w:val="18"/>
                <w:szCs w:val="18"/>
              </w:rPr>
              <w:t>март</w:t>
            </w:r>
            <w:r w:rsidRPr="00E6131F">
              <w:rPr>
                <w:b/>
                <w:bCs/>
                <w:sz w:val="18"/>
                <w:szCs w:val="18"/>
              </w:rPr>
              <w:t xml:space="preserve"> 202</w:t>
            </w:r>
            <w:r>
              <w:rPr>
                <w:b/>
                <w:bCs/>
                <w:sz w:val="18"/>
                <w:szCs w:val="18"/>
              </w:rPr>
              <w:t>5</w:t>
            </w:r>
            <w:r w:rsidRPr="00E6131F">
              <w:rPr>
                <w:b/>
                <w:bCs/>
                <w:sz w:val="18"/>
                <w:szCs w:val="18"/>
              </w:rPr>
              <w:t xml:space="preserve"> г.</w:t>
            </w:r>
          </w:p>
        </w:tc>
        <w:tc>
          <w:tcPr>
            <w:tcW w:w="1304" w:type="dxa"/>
            <w:tcBorders>
              <w:top w:val="single" w:sz="8" w:space="0" w:color="auto"/>
              <w:left w:val="nil"/>
              <w:bottom w:val="single" w:sz="4" w:space="0" w:color="auto"/>
              <w:right w:val="single" w:sz="8" w:space="0" w:color="auto"/>
            </w:tcBorders>
            <w:shd w:val="clear" w:color="auto" w:fill="auto"/>
            <w:vAlign w:val="center"/>
          </w:tcPr>
          <w:p w14:paraId="542E0AC8" w14:textId="77777777" w:rsidR="008969AB" w:rsidRPr="00E6131F" w:rsidRDefault="008969AB" w:rsidP="00201AB8">
            <w:pPr>
              <w:jc w:val="center"/>
              <w:rPr>
                <w:b/>
                <w:bCs/>
                <w:sz w:val="18"/>
                <w:szCs w:val="18"/>
              </w:rPr>
            </w:pPr>
            <w:r w:rsidRPr="00E6131F">
              <w:rPr>
                <w:b/>
                <w:bCs/>
                <w:sz w:val="18"/>
                <w:szCs w:val="18"/>
              </w:rPr>
              <w:t>Изпълнение спрямо ЗДБРБ 202</w:t>
            </w:r>
            <w:r>
              <w:rPr>
                <w:b/>
                <w:bCs/>
                <w:sz w:val="18"/>
                <w:szCs w:val="18"/>
              </w:rPr>
              <w:t>5</w:t>
            </w:r>
            <w:r w:rsidRPr="00E6131F">
              <w:rPr>
                <w:b/>
                <w:bCs/>
                <w:sz w:val="18"/>
                <w:szCs w:val="18"/>
              </w:rPr>
              <w:t xml:space="preserve"> г.</w:t>
            </w:r>
          </w:p>
        </w:tc>
      </w:tr>
      <w:tr w:rsidR="008969AB" w:rsidRPr="00AB0993" w14:paraId="041240DA" w14:textId="77777777" w:rsidTr="00201AB8">
        <w:trPr>
          <w:trHeight w:val="92"/>
          <w:jc w:val="center"/>
        </w:trPr>
        <w:tc>
          <w:tcPr>
            <w:tcW w:w="4854" w:type="dxa"/>
            <w:tcBorders>
              <w:top w:val="single" w:sz="4" w:space="0" w:color="auto"/>
              <w:left w:val="single" w:sz="8" w:space="0" w:color="auto"/>
              <w:bottom w:val="single" w:sz="4" w:space="0" w:color="auto"/>
              <w:right w:val="single" w:sz="8" w:space="0" w:color="auto"/>
            </w:tcBorders>
            <w:shd w:val="clear" w:color="auto" w:fill="auto"/>
            <w:noWrap/>
            <w:vAlign w:val="bottom"/>
          </w:tcPr>
          <w:p w14:paraId="618CF05B" w14:textId="77777777" w:rsidR="008969AB" w:rsidRPr="00824461" w:rsidRDefault="008969AB" w:rsidP="00201AB8">
            <w:pPr>
              <w:rPr>
                <w:b/>
                <w:bCs/>
                <w:sz w:val="18"/>
                <w:szCs w:val="18"/>
              </w:rPr>
            </w:pPr>
            <w:r w:rsidRPr="00824461">
              <w:rPr>
                <w:b/>
                <w:bCs/>
                <w:sz w:val="18"/>
                <w:szCs w:val="18"/>
              </w:rPr>
              <w:t>Общо приходи, помощи и дарения</w:t>
            </w:r>
          </w:p>
        </w:tc>
        <w:tc>
          <w:tcPr>
            <w:tcW w:w="1276" w:type="dxa"/>
            <w:tcBorders>
              <w:top w:val="nil"/>
              <w:left w:val="nil"/>
              <w:bottom w:val="nil"/>
              <w:right w:val="nil"/>
            </w:tcBorders>
            <w:shd w:val="clear" w:color="auto" w:fill="auto"/>
            <w:noWrap/>
            <w:vAlign w:val="bottom"/>
          </w:tcPr>
          <w:p w14:paraId="76EDCC37" w14:textId="77777777" w:rsidR="008969AB" w:rsidRDefault="008969AB" w:rsidP="00201AB8">
            <w:pPr>
              <w:jc w:val="right"/>
              <w:rPr>
                <w:b/>
                <w:bCs/>
                <w:sz w:val="18"/>
                <w:szCs w:val="18"/>
              </w:rPr>
            </w:pPr>
            <w:r>
              <w:rPr>
                <w:b/>
                <w:bCs/>
                <w:sz w:val="18"/>
                <w:szCs w:val="18"/>
              </w:rPr>
              <w:t>55 168,4</w:t>
            </w:r>
          </w:p>
        </w:tc>
        <w:tc>
          <w:tcPr>
            <w:tcW w:w="1616" w:type="dxa"/>
            <w:tcBorders>
              <w:top w:val="nil"/>
              <w:left w:val="nil"/>
              <w:bottom w:val="nil"/>
              <w:right w:val="nil"/>
            </w:tcBorders>
            <w:shd w:val="clear" w:color="auto" w:fill="auto"/>
            <w:noWrap/>
            <w:vAlign w:val="bottom"/>
          </w:tcPr>
          <w:p w14:paraId="1BC04F2C" w14:textId="77777777" w:rsidR="008969AB" w:rsidRDefault="008969AB" w:rsidP="00201AB8">
            <w:pPr>
              <w:jc w:val="right"/>
              <w:rPr>
                <w:b/>
                <w:bCs/>
                <w:sz w:val="18"/>
                <w:szCs w:val="18"/>
              </w:rPr>
            </w:pPr>
            <w:r>
              <w:rPr>
                <w:b/>
                <w:bCs/>
                <w:sz w:val="18"/>
                <w:szCs w:val="18"/>
              </w:rPr>
              <w:t>9 694,0</w:t>
            </w:r>
          </w:p>
        </w:tc>
        <w:tc>
          <w:tcPr>
            <w:tcW w:w="1304" w:type="dxa"/>
            <w:tcBorders>
              <w:top w:val="single" w:sz="4" w:space="0" w:color="auto"/>
              <w:left w:val="nil"/>
              <w:bottom w:val="nil"/>
              <w:right w:val="single" w:sz="8" w:space="0" w:color="auto"/>
            </w:tcBorders>
            <w:shd w:val="clear" w:color="auto" w:fill="auto"/>
            <w:noWrap/>
            <w:vAlign w:val="bottom"/>
          </w:tcPr>
          <w:p w14:paraId="3BAA01C2" w14:textId="77777777" w:rsidR="008969AB" w:rsidRDefault="008969AB" w:rsidP="00201AB8">
            <w:pPr>
              <w:jc w:val="right"/>
              <w:rPr>
                <w:b/>
                <w:bCs/>
                <w:sz w:val="18"/>
                <w:szCs w:val="18"/>
              </w:rPr>
            </w:pPr>
            <w:r>
              <w:rPr>
                <w:b/>
                <w:bCs/>
                <w:sz w:val="18"/>
                <w:szCs w:val="18"/>
              </w:rPr>
              <w:t>17,6%</w:t>
            </w:r>
          </w:p>
        </w:tc>
      </w:tr>
      <w:tr w:rsidR="008969AB" w:rsidRPr="00AB0993" w14:paraId="010BC8B8" w14:textId="77777777" w:rsidTr="00201AB8">
        <w:trPr>
          <w:trHeight w:val="80"/>
          <w:jc w:val="center"/>
        </w:trPr>
        <w:tc>
          <w:tcPr>
            <w:tcW w:w="4854" w:type="dxa"/>
            <w:tcBorders>
              <w:top w:val="single" w:sz="4" w:space="0" w:color="auto"/>
              <w:left w:val="single" w:sz="8" w:space="0" w:color="auto"/>
              <w:bottom w:val="nil"/>
              <w:right w:val="single" w:sz="8" w:space="0" w:color="auto"/>
            </w:tcBorders>
            <w:shd w:val="clear" w:color="auto" w:fill="auto"/>
            <w:noWrap/>
            <w:vAlign w:val="bottom"/>
          </w:tcPr>
          <w:p w14:paraId="4B4EA8B6" w14:textId="77777777" w:rsidR="008969AB" w:rsidRPr="00824461" w:rsidRDefault="008969AB" w:rsidP="00201AB8">
            <w:pPr>
              <w:rPr>
                <w:sz w:val="18"/>
                <w:szCs w:val="18"/>
              </w:rPr>
            </w:pPr>
            <w:r w:rsidRPr="00824461">
              <w:rPr>
                <w:sz w:val="18"/>
                <w:szCs w:val="18"/>
              </w:rPr>
              <w:t xml:space="preserve">   -Данъчни приходи</w:t>
            </w:r>
          </w:p>
        </w:tc>
        <w:tc>
          <w:tcPr>
            <w:tcW w:w="1276" w:type="dxa"/>
            <w:tcBorders>
              <w:top w:val="single" w:sz="4" w:space="0" w:color="auto"/>
              <w:left w:val="nil"/>
              <w:bottom w:val="nil"/>
              <w:right w:val="nil"/>
            </w:tcBorders>
            <w:shd w:val="clear" w:color="auto" w:fill="auto"/>
            <w:noWrap/>
            <w:vAlign w:val="bottom"/>
          </w:tcPr>
          <w:p w14:paraId="23AB2CD4" w14:textId="77777777" w:rsidR="008969AB" w:rsidRDefault="008969AB" w:rsidP="00201AB8">
            <w:pPr>
              <w:jc w:val="right"/>
              <w:rPr>
                <w:sz w:val="18"/>
                <w:szCs w:val="18"/>
              </w:rPr>
            </w:pPr>
            <w:r>
              <w:rPr>
                <w:sz w:val="18"/>
                <w:szCs w:val="18"/>
              </w:rPr>
              <w:t>48 187,2</w:t>
            </w:r>
          </w:p>
        </w:tc>
        <w:tc>
          <w:tcPr>
            <w:tcW w:w="1616" w:type="dxa"/>
            <w:tcBorders>
              <w:top w:val="single" w:sz="4" w:space="0" w:color="auto"/>
              <w:left w:val="nil"/>
              <w:bottom w:val="nil"/>
              <w:right w:val="nil"/>
            </w:tcBorders>
            <w:shd w:val="clear" w:color="auto" w:fill="auto"/>
            <w:noWrap/>
            <w:vAlign w:val="bottom"/>
          </w:tcPr>
          <w:p w14:paraId="78E38B44" w14:textId="77777777" w:rsidR="008969AB" w:rsidRDefault="008969AB" w:rsidP="00201AB8">
            <w:pPr>
              <w:jc w:val="right"/>
              <w:rPr>
                <w:sz w:val="18"/>
                <w:szCs w:val="18"/>
              </w:rPr>
            </w:pPr>
            <w:r>
              <w:rPr>
                <w:sz w:val="18"/>
                <w:szCs w:val="18"/>
              </w:rPr>
              <w:t>8 247,7</w:t>
            </w:r>
          </w:p>
        </w:tc>
        <w:tc>
          <w:tcPr>
            <w:tcW w:w="1304" w:type="dxa"/>
            <w:tcBorders>
              <w:top w:val="single" w:sz="4" w:space="0" w:color="auto"/>
              <w:left w:val="nil"/>
              <w:bottom w:val="nil"/>
              <w:right w:val="single" w:sz="8" w:space="0" w:color="auto"/>
            </w:tcBorders>
            <w:shd w:val="clear" w:color="auto" w:fill="auto"/>
            <w:noWrap/>
            <w:vAlign w:val="bottom"/>
          </w:tcPr>
          <w:p w14:paraId="4C62B021" w14:textId="77777777" w:rsidR="008969AB" w:rsidRDefault="008969AB" w:rsidP="00201AB8">
            <w:pPr>
              <w:jc w:val="right"/>
              <w:rPr>
                <w:sz w:val="18"/>
                <w:szCs w:val="18"/>
              </w:rPr>
            </w:pPr>
            <w:r>
              <w:rPr>
                <w:sz w:val="18"/>
                <w:szCs w:val="18"/>
              </w:rPr>
              <w:t>17,1%</w:t>
            </w:r>
          </w:p>
        </w:tc>
      </w:tr>
      <w:tr w:rsidR="008969AB" w:rsidRPr="00AB0993" w14:paraId="7E0AC572" w14:textId="77777777" w:rsidTr="00201AB8">
        <w:trPr>
          <w:trHeight w:val="80"/>
          <w:jc w:val="center"/>
        </w:trPr>
        <w:tc>
          <w:tcPr>
            <w:tcW w:w="4854" w:type="dxa"/>
            <w:tcBorders>
              <w:left w:val="single" w:sz="8" w:space="0" w:color="auto"/>
              <w:right w:val="single" w:sz="8" w:space="0" w:color="auto"/>
            </w:tcBorders>
            <w:shd w:val="clear" w:color="auto" w:fill="auto"/>
            <w:noWrap/>
            <w:vAlign w:val="bottom"/>
          </w:tcPr>
          <w:p w14:paraId="3C1FEF72" w14:textId="77777777" w:rsidR="008969AB" w:rsidRPr="00824461" w:rsidRDefault="008969AB" w:rsidP="00201AB8">
            <w:pPr>
              <w:rPr>
                <w:sz w:val="18"/>
                <w:szCs w:val="18"/>
              </w:rPr>
            </w:pPr>
            <w:r w:rsidRPr="00824461">
              <w:rPr>
                <w:sz w:val="18"/>
                <w:szCs w:val="18"/>
              </w:rPr>
              <w:t xml:space="preserve">      Корпоративни данъци</w:t>
            </w:r>
          </w:p>
        </w:tc>
        <w:tc>
          <w:tcPr>
            <w:tcW w:w="1276" w:type="dxa"/>
            <w:tcBorders>
              <w:left w:val="nil"/>
              <w:bottom w:val="nil"/>
              <w:right w:val="nil"/>
            </w:tcBorders>
            <w:shd w:val="clear" w:color="auto" w:fill="auto"/>
            <w:noWrap/>
            <w:vAlign w:val="bottom"/>
          </w:tcPr>
          <w:p w14:paraId="3031AF86" w14:textId="77777777" w:rsidR="008969AB" w:rsidRDefault="008969AB" w:rsidP="00201AB8">
            <w:pPr>
              <w:jc w:val="right"/>
              <w:rPr>
                <w:sz w:val="18"/>
                <w:szCs w:val="18"/>
              </w:rPr>
            </w:pPr>
            <w:r>
              <w:rPr>
                <w:sz w:val="18"/>
                <w:szCs w:val="18"/>
              </w:rPr>
              <w:t>6 619,4</w:t>
            </w:r>
          </w:p>
        </w:tc>
        <w:tc>
          <w:tcPr>
            <w:tcW w:w="1616" w:type="dxa"/>
            <w:tcBorders>
              <w:left w:val="nil"/>
              <w:bottom w:val="nil"/>
              <w:right w:val="nil"/>
            </w:tcBorders>
            <w:shd w:val="clear" w:color="auto" w:fill="auto"/>
            <w:noWrap/>
            <w:vAlign w:val="bottom"/>
          </w:tcPr>
          <w:p w14:paraId="7D277514" w14:textId="77777777" w:rsidR="008969AB" w:rsidRDefault="008969AB" w:rsidP="00201AB8">
            <w:pPr>
              <w:jc w:val="right"/>
              <w:rPr>
                <w:sz w:val="18"/>
                <w:szCs w:val="18"/>
              </w:rPr>
            </w:pPr>
            <w:r>
              <w:rPr>
                <w:sz w:val="18"/>
                <w:szCs w:val="18"/>
              </w:rPr>
              <w:t>181,7</w:t>
            </w:r>
          </w:p>
        </w:tc>
        <w:tc>
          <w:tcPr>
            <w:tcW w:w="1304" w:type="dxa"/>
            <w:tcBorders>
              <w:left w:val="nil"/>
              <w:bottom w:val="nil"/>
              <w:right w:val="single" w:sz="8" w:space="0" w:color="auto"/>
            </w:tcBorders>
            <w:shd w:val="clear" w:color="auto" w:fill="auto"/>
            <w:noWrap/>
            <w:vAlign w:val="bottom"/>
          </w:tcPr>
          <w:p w14:paraId="6DC37274" w14:textId="77777777" w:rsidR="008969AB" w:rsidRDefault="008969AB" w:rsidP="00201AB8">
            <w:pPr>
              <w:jc w:val="right"/>
              <w:rPr>
                <w:sz w:val="18"/>
                <w:szCs w:val="18"/>
              </w:rPr>
            </w:pPr>
            <w:r>
              <w:rPr>
                <w:sz w:val="18"/>
                <w:szCs w:val="18"/>
              </w:rPr>
              <w:t>2,7%</w:t>
            </w:r>
          </w:p>
        </w:tc>
      </w:tr>
      <w:tr w:rsidR="008969AB" w:rsidRPr="00AB0993" w14:paraId="2AAF488B" w14:textId="77777777" w:rsidTr="00201AB8">
        <w:trPr>
          <w:trHeight w:val="165"/>
          <w:jc w:val="center"/>
        </w:trPr>
        <w:tc>
          <w:tcPr>
            <w:tcW w:w="4854" w:type="dxa"/>
            <w:tcBorders>
              <w:left w:val="single" w:sz="8" w:space="0" w:color="auto"/>
              <w:right w:val="single" w:sz="8" w:space="0" w:color="auto"/>
            </w:tcBorders>
            <w:shd w:val="clear" w:color="auto" w:fill="auto"/>
            <w:noWrap/>
            <w:vAlign w:val="bottom"/>
          </w:tcPr>
          <w:p w14:paraId="7E45A99C" w14:textId="77777777" w:rsidR="008969AB" w:rsidRPr="00824461" w:rsidRDefault="008969AB" w:rsidP="00201AB8">
            <w:pPr>
              <w:rPr>
                <w:sz w:val="18"/>
                <w:szCs w:val="18"/>
              </w:rPr>
            </w:pPr>
            <w:r w:rsidRPr="00824461">
              <w:rPr>
                <w:sz w:val="18"/>
                <w:szCs w:val="18"/>
              </w:rPr>
              <w:t xml:space="preserve">     </w:t>
            </w:r>
            <w:r w:rsidRPr="00824461">
              <w:rPr>
                <w:sz w:val="18"/>
                <w:szCs w:val="18"/>
                <w:lang w:val="en-US"/>
              </w:rPr>
              <w:t xml:space="preserve"> </w:t>
            </w:r>
            <w:r w:rsidRPr="00824461">
              <w:rPr>
                <w:sz w:val="18"/>
                <w:szCs w:val="18"/>
              </w:rPr>
              <w:t>ДДФЛ</w:t>
            </w:r>
          </w:p>
        </w:tc>
        <w:tc>
          <w:tcPr>
            <w:tcW w:w="1276" w:type="dxa"/>
            <w:tcBorders>
              <w:left w:val="nil"/>
              <w:bottom w:val="nil"/>
              <w:right w:val="nil"/>
            </w:tcBorders>
            <w:shd w:val="clear" w:color="auto" w:fill="auto"/>
            <w:noWrap/>
            <w:vAlign w:val="bottom"/>
          </w:tcPr>
          <w:p w14:paraId="5188C7F9" w14:textId="77777777" w:rsidR="008969AB" w:rsidRDefault="008969AB" w:rsidP="00201AB8">
            <w:pPr>
              <w:jc w:val="right"/>
              <w:rPr>
                <w:sz w:val="18"/>
                <w:szCs w:val="18"/>
              </w:rPr>
            </w:pPr>
            <w:r>
              <w:rPr>
                <w:sz w:val="18"/>
                <w:szCs w:val="18"/>
              </w:rPr>
              <w:t>7 972,1</w:t>
            </w:r>
          </w:p>
        </w:tc>
        <w:tc>
          <w:tcPr>
            <w:tcW w:w="1616" w:type="dxa"/>
            <w:tcBorders>
              <w:left w:val="nil"/>
              <w:bottom w:val="nil"/>
              <w:right w:val="nil"/>
            </w:tcBorders>
            <w:shd w:val="clear" w:color="auto" w:fill="auto"/>
            <w:noWrap/>
            <w:vAlign w:val="bottom"/>
          </w:tcPr>
          <w:p w14:paraId="076C7081" w14:textId="77777777" w:rsidR="008969AB" w:rsidRDefault="008969AB" w:rsidP="00201AB8">
            <w:pPr>
              <w:jc w:val="right"/>
              <w:rPr>
                <w:sz w:val="18"/>
                <w:szCs w:val="18"/>
              </w:rPr>
            </w:pPr>
            <w:r>
              <w:rPr>
                <w:sz w:val="18"/>
                <w:szCs w:val="18"/>
              </w:rPr>
              <w:t>1 661,2</w:t>
            </w:r>
          </w:p>
        </w:tc>
        <w:tc>
          <w:tcPr>
            <w:tcW w:w="1304" w:type="dxa"/>
            <w:tcBorders>
              <w:left w:val="nil"/>
              <w:bottom w:val="nil"/>
              <w:right w:val="single" w:sz="8" w:space="0" w:color="auto"/>
            </w:tcBorders>
            <w:shd w:val="clear" w:color="auto" w:fill="auto"/>
            <w:noWrap/>
            <w:vAlign w:val="bottom"/>
          </w:tcPr>
          <w:p w14:paraId="6624BE8E" w14:textId="77777777" w:rsidR="008969AB" w:rsidRDefault="008969AB" w:rsidP="00201AB8">
            <w:pPr>
              <w:jc w:val="right"/>
              <w:rPr>
                <w:sz w:val="18"/>
                <w:szCs w:val="18"/>
              </w:rPr>
            </w:pPr>
            <w:r>
              <w:rPr>
                <w:sz w:val="18"/>
                <w:szCs w:val="18"/>
              </w:rPr>
              <w:t>20,8%</w:t>
            </w:r>
          </w:p>
        </w:tc>
      </w:tr>
      <w:tr w:rsidR="008969AB" w:rsidRPr="00AB0993" w14:paraId="7C1D058F" w14:textId="77777777" w:rsidTr="00201AB8">
        <w:trPr>
          <w:trHeight w:val="165"/>
          <w:jc w:val="center"/>
        </w:trPr>
        <w:tc>
          <w:tcPr>
            <w:tcW w:w="4854" w:type="dxa"/>
            <w:tcBorders>
              <w:left w:val="single" w:sz="8" w:space="0" w:color="auto"/>
              <w:right w:val="single" w:sz="8" w:space="0" w:color="auto"/>
            </w:tcBorders>
            <w:shd w:val="clear" w:color="auto" w:fill="auto"/>
            <w:noWrap/>
            <w:vAlign w:val="bottom"/>
          </w:tcPr>
          <w:p w14:paraId="217ED91C" w14:textId="77777777" w:rsidR="008969AB" w:rsidRPr="00824461" w:rsidRDefault="008969AB" w:rsidP="00201AB8">
            <w:pPr>
              <w:rPr>
                <w:sz w:val="18"/>
                <w:szCs w:val="18"/>
              </w:rPr>
            </w:pPr>
            <w:r w:rsidRPr="00824461">
              <w:rPr>
                <w:sz w:val="18"/>
                <w:szCs w:val="18"/>
              </w:rPr>
              <w:t xml:space="preserve">     </w:t>
            </w:r>
            <w:r w:rsidRPr="00824461">
              <w:rPr>
                <w:sz w:val="18"/>
                <w:szCs w:val="18"/>
                <w:lang w:val="en-US"/>
              </w:rPr>
              <w:t xml:space="preserve"> </w:t>
            </w:r>
            <w:r w:rsidRPr="00824461">
              <w:rPr>
                <w:sz w:val="18"/>
                <w:szCs w:val="18"/>
              </w:rPr>
              <w:t>ДДС</w:t>
            </w:r>
          </w:p>
        </w:tc>
        <w:tc>
          <w:tcPr>
            <w:tcW w:w="1276" w:type="dxa"/>
            <w:tcBorders>
              <w:left w:val="nil"/>
              <w:bottom w:val="nil"/>
              <w:right w:val="nil"/>
            </w:tcBorders>
            <w:shd w:val="clear" w:color="auto" w:fill="auto"/>
            <w:noWrap/>
            <w:vAlign w:val="bottom"/>
          </w:tcPr>
          <w:p w14:paraId="1A5BCE22" w14:textId="77777777" w:rsidR="008969AB" w:rsidRDefault="008969AB" w:rsidP="00201AB8">
            <w:pPr>
              <w:jc w:val="right"/>
              <w:rPr>
                <w:sz w:val="18"/>
                <w:szCs w:val="18"/>
              </w:rPr>
            </w:pPr>
            <w:r>
              <w:rPr>
                <w:sz w:val="18"/>
                <w:szCs w:val="18"/>
              </w:rPr>
              <w:t>24 833,6</w:t>
            </w:r>
          </w:p>
        </w:tc>
        <w:tc>
          <w:tcPr>
            <w:tcW w:w="1616" w:type="dxa"/>
            <w:tcBorders>
              <w:left w:val="nil"/>
              <w:bottom w:val="nil"/>
              <w:right w:val="nil"/>
            </w:tcBorders>
            <w:shd w:val="clear" w:color="auto" w:fill="auto"/>
            <w:noWrap/>
            <w:vAlign w:val="bottom"/>
          </w:tcPr>
          <w:p w14:paraId="4EFFA25A" w14:textId="77777777" w:rsidR="008969AB" w:rsidRDefault="008969AB" w:rsidP="00201AB8">
            <w:pPr>
              <w:jc w:val="right"/>
              <w:rPr>
                <w:sz w:val="18"/>
                <w:szCs w:val="18"/>
              </w:rPr>
            </w:pPr>
            <w:r>
              <w:rPr>
                <w:sz w:val="18"/>
                <w:szCs w:val="18"/>
              </w:rPr>
              <w:t>4 743,4</w:t>
            </w:r>
          </w:p>
        </w:tc>
        <w:tc>
          <w:tcPr>
            <w:tcW w:w="1304" w:type="dxa"/>
            <w:tcBorders>
              <w:left w:val="nil"/>
              <w:bottom w:val="nil"/>
              <w:right w:val="single" w:sz="8" w:space="0" w:color="auto"/>
            </w:tcBorders>
            <w:shd w:val="clear" w:color="auto" w:fill="auto"/>
            <w:noWrap/>
            <w:vAlign w:val="bottom"/>
          </w:tcPr>
          <w:p w14:paraId="400432C8" w14:textId="77777777" w:rsidR="008969AB" w:rsidRDefault="008969AB" w:rsidP="00201AB8">
            <w:pPr>
              <w:jc w:val="right"/>
              <w:rPr>
                <w:sz w:val="18"/>
                <w:szCs w:val="18"/>
              </w:rPr>
            </w:pPr>
            <w:r>
              <w:rPr>
                <w:sz w:val="18"/>
                <w:szCs w:val="18"/>
              </w:rPr>
              <w:t>19,1%</w:t>
            </w:r>
          </w:p>
        </w:tc>
      </w:tr>
      <w:tr w:rsidR="008969AB" w:rsidRPr="00AB0993" w14:paraId="284C269C" w14:textId="77777777" w:rsidTr="00201AB8">
        <w:trPr>
          <w:trHeight w:val="165"/>
          <w:jc w:val="center"/>
        </w:trPr>
        <w:tc>
          <w:tcPr>
            <w:tcW w:w="4854" w:type="dxa"/>
            <w:tcBorders>
              <w:left w:val="single" w:sz="8" w:space="0" w:color="auto"/>
              <w:right w:val="single" w:sz="8" w:space="0" w:color="auto"/>
            </w:tcBorders>
            <w:shd w:val="clear" w:color="auto" w:fill="auto"/>
            <w:noWrap/>
            <w:vAlign w:val="bottom"/>
          </w:tcPr>
          <w:p w14:paraId="006B362A" w14:textId="77777777" w:rsidR="008969AB" w:rsidRPr="00824461" w:rsidRDefault="008969AB" w:rsidP="00201AB8">
            <w:pPr>
              <w:rPr>
                <w:sz w:val="18"/>
                <w:szCs w:val="18"/>
              </w:rPr>
            </w:pPr>
            <w:r w:rsidRPr="00824461">
              <w:rPr>
                <w:sz w:val="18"/>
                <w:szCs w:val="18"/>
              </w:rPr>
              <w:t xml:space="preserve">     </w:t>
            </w:r>
            <w:r w:rsidRPr="00824461">
              <w:rPr>
                <w:sz w:val="18"/>
                <w:szCs w:val="18"/>
                <w:lang w:val="en-US"/>
              </w:rPr>
              <w:t xml:space="preserve"> </w:t>
            </w:r>
            <w:r w:rsidRPr="00824461">
              <w:rPr>
                <w:sz w:val="18"/>
                <w:szCs w:val="18"/>
              </w:rPr>
              <w:t xml:space="preserve">Акцизи </w:t>
            </w:r>
          </w:p>
        </w:tc>
        <w:tc>
          <w:tcPr>
            <w:tcW w:w="1276" w:type="dxa"/>
            <w:tcBorders>
              <w:left w:val="nil"/>
              <w:bottom w:val="nil"/>
              <w:right w:val="nil"/>
            </w:tcBorders>
            <w:shd w:val="clear" w:color="auto" w:fill="auto"/>
            <w:noWrap/>
            <w:vAlign w:val="bottom"/>
          </w:tcPr>
          <w:p w14:paraId="2C099C6F" w14:textId="77777777" w:rsidR="008969AB" w:rsidRDefault="008969AB" w:rsidP="00201AB8">
            <w:pPr>
              <w:jc w:val="right"/>
              <w:rPr>
                <w:sz w:val="18"/>
                <w:szCs w:val="18"/>
              </w:rPr>
            </w:pPr>
            <w:r>
              <w:rPr>
                <w:sz w:val="18"/>
                <w:szCs w:val="18"/>
              </w:rPr>
              <w:t>7 693,0</w:t>
            </w:r>
          </w:p>
        </w:tc>
        <w:tc>
          <w:tcPr>
            <w:tcW w:w="1616" w:type="dxa"/>
            <w:tcBorders>
              <w:left w:val="nil"/>
              <w:bottom w:val="nil"/>
              <w:right w:val="nil"/>
            </w:tcBorders>
            <w:shd w:val="clear" w:color="auto" w:fill="auto"/>
            <w:noWrap/>
            <w:vAlign w:val="bottom"/>
          </w:tcPr>
          <w:p w14:paraId="07C32A7E" w14:textId="77777777" w:rsidR="008969AB" w:rsidRDefault="008969AB" w:rsidP="00201AB8">
            <w:pPr>
              <w:jc w:val="right"/>
              <w:rPr>
                <w:sz w:val="18"/>
                <w:szCs w:val="18"/>
              </w:rPr>
            </w:pPr>
            <w:r>
              <w:rPr>
                <w:sz w:val="18"/>
                <w:szCs w:val="18"/>
              </w:rPr>
              <w:t>1 514,2</w:t>
            </w:r>
          </w:p>
        </w:tc>
        <w:tc>
          <w:tcPr>
            <w:tcW w:w="1304" w:type="dxa"/>
            <w:tcBorders>
              <w:left w:val="nil"/>
              <w:bottom w:val="nil"/>
              <w:right w:val="single" w:sz="8" w:space="0" w:color="auto"/>
            </w:tcBorders>
            <w:shd w:val="clear" w:color="auto" w:fill="auto"/>
            <w:noWrap/>
            <w:vAlign w:val="bottom"/>
          </w:tcPr>
          <w:p w14:paraId="6541CC6C" w14:textId="77777777" w:rsidR="008969AB" w:rsidRDefault="008969AB" w:rsidP="00201AB8">
            <w:pPr>
              <w:jc w:val="right"/>
              <w:rPr>
                <w:sz w:val="18"/>
                <w:szCs w:val="18"/>
              </w:rPr>
            </w:pPr>
            <w:r>
              <w:rPr>
                <w:sz w:val="18"/>
                <w:szCs w:val="18"/>
              </w:rPr>
              <w:t>19,7%</w:t>
            </w:r>
          </w:p>
        </w:tc>
      </w:tr>
      <w:tr w:rsidR="008969AB" w:rsidRPr="00AB0993" w14:paraId="65DE2B7D" w14:textId="77777777" w:rsidTr="00201AB8">
        <w:trPr>
          <w:trHeight w:val="165"/>
          <w:jc w:val="center"/>
        </w:trPr>
        <w:tc>
          <w:tcPr>
            <w:tcW w:w="4854" w:type="dxa"/>
            <w:tcBorders>
              <w:left w:val="single" w:sz="8" w:space="0" w:color="auto"/>
              <w:right w:val="single" w:sz="8" w:space="0" w:color="auto"/>
            </w:tcBorders>
            <w:shd w:val="clear" w:color="auto" w:fill="auto"/>
            <w:noWrap/>
            <w:vAlign w:val="bottom"/>
          </w:tcPr>
          <w:p w14:paraId="0C7208E4" w14:textId="77777777" w:rsidR="008969AB" w:rsidRPr="00824461" w:rsidRDefault="008969AB" w:rsidP="00201AB8">
            <w:pPr>
              <w:rPr>
                <w:sz w:val="18"/>
                <w:szCs w:val="18"/>
              </w:rPr>
            </w:pPr>
            <w:r w:rsidRPr="00824461">
              <w:rPr>
                <w:sz w:val="18"/>
                <w:szCs w:val="18"/>
              </w:rPr>
              <w:t xml:space="preserve">      Данък в/у застрахователните премии</w:t>
            </w:r>
          </w:p>
        </w:tc>
        <w:tc>
          <w:tcPr>
            <w:tcW w:w="1276" w:type="dxa"/>
            <w:tcBorders>
              <w:left w:val="nil"/>
              <w:bottom w:val="nil"/>
              <w:right w:val="nil"/>
            </w:tcBorders>
            <w:shd w:val="clear" w:color="auto" w:fill="auto"/>
            <w:noWrap/>
            <w:vAlign w:val="bottom"/>
          </w:tcPr>
          <w:p w14:paraId="0DCBBA9E" w14:textId="77777777" w:rsidR="008969AB" w:rsidRDefault="008969AB" w:rsidP="00201AB8">
            <w:pPr>
              <w:jc w:val="right"/>
              <w:rPr>
                <w:sz w:val="18"/>
                <w:szCs w:val="18"/>
              </w:rPr>
            </w:pPr>
            <w:r>
              <w:rPr>
                <w:sz w:val="18"/>
                <w:szCs w:val="18"/>
              </w:rPr>
              <w:t>74,6</w:t>
            </w:r>
          </w:p>
        </w:tc>
        <w:tc>
          <w:tcPr>
            <w:tcW w:w="1616" w:type="dxa"/>
            <w:tcBorders>
              <w:left w:val="nil"/>
              <w:bottom w:val="nil"/>
              <w:right w:val="nil"/>
            </w:tcBorders>
            <w:shd w:val="clear" w:color="auto" w:fill="auto"/>
            <w:noWrap/>
            <w:vAlign w:val="bottom"/>
          </w:tcPr>
          <w:p w14:paraId="5BC3042E" w14:textId="77777777" w:rsidR="008969AB" w:rsidRDefault="008969AB" w:rsidP="00201AB8">
            <w:pPr>
              <w:jc w:val="right"/>
              <w:rPr>
                <w:sz w:val="18"/>
                <w:szCs w:val="18"/>
              </w:rPr>
            </w:pPr>
            <w:r>
              <w:rPr>
                <w:sz w:val="18"/>
                <w:szCs w:val="18"/>
              </w:rPr>
              <w:t>17,3</w:t>
            </w:r>
          </w:p>
        </w:tc>
        <w:tc>
          <w:tcPr>
            <w:tcW w:w="1304" w:type="dxa"/>
            <w:tcBorders>
              <w:left w:val="nil"/>
              <w:bottom w:val="nil"/>
              <w:right w:val="single" w:sz="8" w:space="0" w:color="auto"/>
            </w:tcBorders>
            <w:shd w:val="clear" w:color="auto" w:fill="auto"/>
            <w:noWrap/>
            <w:vAlign w:val="bottom"/>
          </w:tcPr>
          <w:p w14:paraId="63844F2C" w14:textId="77777777" w:rsidR="008969AB" w:rsidRDefault="008969AB" w:rsidP="00201AB8">
            <w:pPr>
              <w:jc w:val="right"/>
              <w:rPr>
                <w:sz w:val="18"/>
                <w:szCs w:val="18"/>
              </w:rPr>
            </w:pPr>
            <w:r>
              <w:rPr>
                <w:sz w:val="18"/>
                <w:szCs w:val="18"/>
              </w:rPr>
              <w:t>23,1%</w:t>
            </w:r>
          </w:p>
        </w:tc>
      </w:tr>
      <w:tr w:rsidR="008969AB" w:rsidRPr="00AB0993" w14:paraId="15064305" w14:textId="77777777" w:rsidTr="00201AB8">
        <w:trPr>
          <w:trHeight w:val="165"/>
          <w:jc w:val="center"/>
        </w:trPr>
        <w:tc>
          <w:tcPr>
            <w:tcW w:w="4854" w:type="dxa"/>
            <w:tcBorders>
              <w:left w:val="single" w:sz="8" w:space="0" w:color="auto"/>
              <w:right w:val="single" w:sz="8" w:space="0" w:color="auto"/>
            </w:tcBorders>
            <w:shd w:val="clear" w:color="auto" w:fill="auto"/>
            <w:noWrap/>
            <w:vAlign w:val="bottom"/>
          </w:tcPr>
          <w:p w14:paraId="173758D1" w14:textId="77777777" w:rsidR="008969AB" w:rsidRPr="00824461" w:rsidRDefault="008969AB" w:rsidP="00201AB8">
            <w:pPr>
              <w:rPr>
                <w:sz w:val="18"/>
                <w:szCs w:val="18"/>
              </w:rPr>
            </w:pPr>
            <w:r w:rsidRPr="00824461">
              <w:rPr>
                <w:sz w:val="18"/>
                <w:szCs w:val="18"/>
              </w:rPr>
              <w:t xml:space="preserve">     </w:t>
            </w:r>
            <w:r w:rsidRPr="00824461">
              <w:rPr>
                <w:sz w:val="18"/>
                <w:szCs w:val="18"/>
                <w:lang w:val="en-US"/>
              </w:rPr>
              <w:t xml:space="preserve"> </w:t>
            </w:r>
            <w:r w:rsidRPr="00824461">
              <w:rPr>
                <w:sz w:val="18"/>
                <w:szCs w:val="18"/>
              </w:rPr>
              <w:t>Мита и митнически такси</w:t>
            </w:r>
          </w:p>
        </w:tc>
        <w:tc>
          <w:tcPr>
            <w:tcW w:w="1276" w:type="dxa"/>
            <w:tcBorders>
              <w:left w:val="nil"/>
              <w:bottom w:val="nil"/>
              <w:right w:val="nil"/>
            </w:tcBorders>
            <w:shd w:val="clear" w:color="auto" w:fill="auto"/>
            <w:noWrap/>
            <w:vAlign w:val="bottom"/>
          </w:tcPr>
          <w:p w14:paraId="41570DD0" w14:textId="77777777" w:rsidR="008969AB" w:rsidRDefault="008969AB" w:rsidP="00201AB8">
            <w:pPr>
              <w:jc w:val="right"/>
              <w:rPr>
                <w:sz w:val="18"/>
                <w:szCs w:val="18"/>
              </w:rPr>
            </w:pPr>
            <w:r>
              <w:rPr>
                <w:sz w:val="18"/>
                <w:szCs w:val="18"/>
              </w:rPr>
              <w:t>367,0</w:t>
            </w:r>
          </w:p>
        </w:tc>
        <w:tc>
          <w:tcPr>
            <w:tcW w:w="1616" w:type="dxa"/>
            <w:tcBorders>
              <w:left w:val="nil"/>
              <w:bottom w:val="nil"/>
              <w:right w:val="nil"/>
            </w:tcBorders>
            <w:shd w:val="clear" w:color="auto" w:fill="auto"/>
            <w:noWrap/>
            <w:vAlign w:val="bottom"/>
          </w:tcPr>
          <w:p w14:paraId="43B9ADC4" w14:textId="77777777" w:rsidR="008969AB" w:rsidRDefault="008969AB" w:rsidP="00201AB8">
            <w:pPr>
              <w:jc w:val="right"/>
              <w:rPr>
                <w:sz w:val="18"/>
                <w:szCs w:val="18"/>
              </w:rPr>
            </w:pPr>
            <w:r>
              <w:rPr>
                <w:sz w:val="18"/>
                <w:szCs w:val="18"/>
              </w:rPr>
              <w:t>91,8</w:t>
            </w:r>
          </w:p>
        </w:tc>
        <w:tc>
          <w:tcPr>
            <w:tcW w:w="1304" w:type="dxa"/>
            <w:tcBorders>
              <w:left w:val="nil"/>
              <w:bottom w:val="nil"/>
              <w:right w:val="single" w:sz="8" w:space="0" w:color="auto"/>
            </w:tcBorders>
            <w:shd w:val="clear" w:color="auto" w:fill="auto"/>
            <w:noWrap/>
            <w:vAlign w:val="bottom"/>
          </w:tcPr>
          <w:p w14:paraId="454C23CD" w14:textId="77777777" w:rsidR="008969AB" w:rsidRDefault="008969AB" w:rsidP="00201AB8">
            <w:pPr>
              <w:jc w:val="right"/>
              <w:rPr>
                <w:sz w:val="18"/>
                <w:szCs w:val="18"/>
              </w:rPr>
            </w:pPr>
            <w:r>
              <w:rPr>
                <w:sz w:val="18"/>
                <w:szCs w:val="18"/>
              </w:rPr>
              <w:t>25,0%</w:t>
            </w:r>
          </w:p>
        </w:tc>
      </w:tr>
      <w:tr w:rsidR="008969AB" w:rsidRPr="00AB0993" w14:paraId="54D69FED" w14:textId="77777777" w:rsidTr="00201AB8">
        <w:trPr>
          <w:trHeight w:val="165"/>
          <w:jc w:val="center"/>
        </w:trPr>
        <w:tc>
          <w:tcPr>
            <w:tcW w:w="4854" w:type="dxa"/>
            <w:tcBorders>
              <w:left w:val="single" w:sz="8" w:space="0" w:color="auto"/>
              <w:right w:val="single" w:sz="8" w:space="0" w:color="auto"/>
            </w:tcBorders>
            <w:shd w:val="clear" w:color="auto" w:fill="auto"/>
            <w:noWrap/>
            <w:vAlign w:val="bottom"/>
          </w:tcPr>
          <w:p w14:paraId="2C45DE99" w14:textId="77777777" w:rsidR="008969AB" w:rsidRPr="00824461" w:rsidRDefault="008969AB" w:rsidP="00201AB8">
            <w:pPr>
              <w:rPr>
                <w:sz w:val="18"/>
                <w:szCs w:val="18"/>
              </w:rPr>
            </w:pPr>
            <w:r w:rsidRPr="00824461">
              <w:rPr>
                <w:sz w:val="18"/>
                <w:szCs w:val="18"/>
              </w:rPr>
              <w:t xml:space="preserve">     </w:t>
            </w:r>
            <w:r w:rsidRPr="00824461">
              <w:rPr>
                <w:sz w:val="18"/>
                <w:szCs w:val="18"/>
                <w:lang w:val="en-US"/>
              </w:rPr>
              <w:t xml:space="preserve"> </w:t>
            </w:r>
            <w:r w:rsidRPr="00824461">
              <w:rPr>
                <w:sz w:val="18"/>
                <w:szCs w:val="18"/>
              </w:rPr>
              <w:t>Други данъци</w:t>
            </w:r>
          </w:p>
        </w:tc>
        <w:tc>
          <w:tcPr>
            <w:tcW w:w="1276" w:type="dxa"/>
            <w:tcBorders>
              <w:top w:val="nil"/>
              <w:left w:val="nil"/>
              <w:bottom w:val="nil"/>
              <w:right w:val="nil"/>
            </w:tcBorders>
            <w:shd w:val="clear" w:color="auto" w:fill="auto"/>
            <w:noWrap/>
            <w:vAlign w:val="bottom"/>
          </w:tcPr>
          <w:p w14:paraId="0F796DE0" w14:textId="77777777" w:rsidR="008969AB" w:rsidRDefault="008969AB" w:rsidP="00201AB8">
            <w:pPr>
              <w:jc w:val="right"/>
              <w:rPr>
                <w:sz w:val="18"/>
                <w:szCs w:val="18"/>
              </w:rPr>
            </w:pPr>
            <w:r>
              <w:rPr>
                <w:sz w:val="18"/>
                <w:szCs w:val="18"/>
              </w:rPr>
              <w:t>627,5</w:t>
            </w:r>
          </w:p>
        </w:tc>
        <w:tc>
          <w:tcPr>
            <w:tcW w:w="1616" w:type="dxa"/>
            <w:tcBorders>
              <w:top w:val="nil"/>
              <w:left w:val="nil"/>
              <w:bottom w:val="nil"/>
              <w:right w:val="nil"/>
            </w:tcBorders>
            <w:shd w:val="clear" w:color="auto" w:fill="auto"/>
            <w:noWrap/>
            <w:vAlign w:val="bottom"/>
          </w:tcPr>
          <w:p w14:paraId="4078D921" w14:textId="77777777" w:rsidR="008969AB" w:rsidRDefault="008969AB" w:rsidP="00201AB8">
            <w:pPr>
              <w:jc w:val="right"/>
              <w:rPr>
                <w:sz w:val="18"/>
                <w:szCs w:val="18"/>
              </w:rPr>
            </w:pPr>
            <w:r>
              <w:rPr>
                <w:sz w:val="18"/>
                <w:szCs w:val="18"/>
              </w:rPr>
              <w:t>38,1</w:t>
            </w:r>
          </w:p>
        </w:tc>
        <w:tc>
          <w:tcPr>
            <w:tcW w:w="1304" w:type="dxa"/>
            <w:tcBorders>
              <w:top w:val="nil"/>
              <w:left w:val="nil"/>
              <w:bottom w:val="nil"/>
              <w:right w:val="single" w:sz="8" w:space="0" w:color="auto"/>
            </w:tcBorders>
            <w:shd w:val="clear" w:color="auto" w:fill="auto"/>
            <w:noWrap/>
            <w:vAlign w:val="bottom"/>
          </w:tcPr>
          <w:p w14:paraId="772EAE03" w14:textId="77777777" w:rsidR="008969AB" w:rsidRDefault="008969AB" w:rsidP="00201AB8">
            <w:pPr>
              <w:jc w:val="right"/>
              <w:rPr>
                <w:sz w:val="18"/>
                <w:szCs w:val="18"/>
              </w:rPr>
            </w:pPr>
            <w:r>
              <w:rPr>
                <w:sz w:val="18"/>
                <w:szCs w:val="18"/>
              </w:rPr>
              <w:t>6,1%</w:t>
            </w:r>
          </w:p>
        </w:tc>
      </w:tr>
      <w:tr w:rsidR="008969AB" w:rsidRPr="00AB0993" w14:paraId="5BB6C6DF" w14:textId="77777777" w:rsidTr="00201AB8">
        <w:trPr>
          <w:trHeight w:val="165"/>
          <w:jc w:val="center"/>
        </w:trPr>
        <w:tc>
          <w:tcPr>
            <w:tcW w:w="4854" w:type="dxa"/>
            <w:tcBorders>
              <w:left w:val="single" w:sz="8" w:space="0" w:color="auto"/>
              <w:right w:val="single" w:sz="8" w:space="0" w:color="auto"/>
            </w:tcBorders>
            <w:shd w:val="clear" w:color="auto" w:fill="auto"/>
            <w:noWrap/>
            <w:vAlign w:val="bottom"/>
          </w:tcPr>
          <w:p w14:paraId="48C2243C" w14:textId="77777777" w:rsidR="008969AB" w:rsidRPr="00824461" w:rsidRDefault="008969AB" w:rsidP="00201AB8">
            <w:pPr>
              <w:rPr>
                <w:sz w:val="18"/>
                <w:szCs w:val="18"/>
              </w:rPr>
            </w:pPr>
            <w:r w:rsidRPr="00824461">
              <w:rPr>
                <w:sz w:val="18"/>
                <w:szCs w:val="18"/>
              </w:rPr>
              <w:t xml:space="preserve">   -Неданъчни приходи</w:t>
            </w:r>
          </w:p>
        </w:tc>
        <w:tc>
          <w:tcPr>
            <w:tcW w:w="1276" w:type="dxa"/>
            <w:tcBorders>
              <w:top w:val="nil"/>
              <w:left w:val="nil"/>
              <w:bottom w:val="nil"/>
              <w:right w:val="nil"/>
            </w:tcBorders>
            <w:shd w:val="clear" w:color="auto" w:fill="auto"/>
            <w:noWrap/>
            <w:vAlign w:val="bottom"/>
          </w:tcPr>
          <w:p w14:paraId="5AF4E32B" w14:textId="77777777" w:rsidR="008969AB" w:rsidRDefault="008969AB" w:rsidP="00201AB8">
            <w:pPr>
              <w:jc w:val="right"/>
              <w:rPr>
                <w:sz w:val="18"/>
                <w:szCs w:val="18"/>
              </w:rPr>
            </w:pPr>
            <w:r>
              <w:rPr>
                <w:sz w:val="18"/>
                <w:szCs w:val="18"/>
              </w:rPr>
              <w:t>6 980,7</w:t>
            </w:r>
          </w:p>
        </w:tc>
        <w:tc>
          <w:tcPr>
            <w:tcW w:w="1616" w:type="dxa"/>
            <w:tcBorders>
              <w:top w:val="nil"/>
              <w:left w:val="nil"/>
              <w:bottom w:val="nil"/>
              <w:right w:val="nil"/>
            </w:tcBorders>
            <w:shd w:val="clear" w:color="auto" w:fill="auto"/>
            <w:noWrap/>
            <w:vAlign w:val="bottom"/>
          </w:tcPr>
          <w:p w14:paraId="7FBBCC7F" w14:textId="77777777" w:rsidR="008969AB" w:rsidRDefault="008969AB" w:rsidP="00201AB8">
            <w:pPr>
              <w:jc w:val="right"/>
              <w:rPr>
                <w:sz w:val="18"/>
                <w:szCs w:val="18"/>
              </w:rPr>
            </w:pPr>
            <w:r>
              <w:rPr>
                <w:sz w:val="18"/>
                <w:szCs w:val="18"/>
              </w:rPr>
              <w:t>1 096,3</w:t>
            </w:r>
          </w:p>
        </w:tc>
        <w:tc>
          <w:tcPr>
            <w:tcW w:w="1304" w:type="dxa"/>
            <w:tcBorders>
              <w:top w:val="nil"/>
              <w:left w:val="nil"/>
              <w:bottom w:val="nil"/>
              <w:right w:val="single" w:sz="8" w:space="0" w:color="auto"/>
            </w:tcBorders>
            <w:shd w:val="clear" w:color="auto" w:fill="auto"/>
            <w:noWrap/>
            <w:vAlign w:val="bottom"/>
          </w:tcPr>
          <w:p w14:paraId="62A12935" w14:textId="77777777" w:rsidR="008969AB" w:rsidRDefault="008969AB" w:rsidP="00201AB8">
            <w:pPr>
              <w:jc w:val="right"/>
              <w:rPr>
                <w:sz w:val="18"/>
                <w:szCs w:val="18"/>
              </w:rPr>
            </w:pPr>
            <w:r>
              <w:rPr>
                <w:sz w:val="18"/>
                <w:szCs w:val="18"/>
              </w:rPr>
              <w:t>15,7%</w:t>
            </w:r>
          </w:p>
        </w:tc>
      </w:tr>
      <w:tr w:rsidR="008969AB" w:rsidRPr="00AB0993" w14:paraId="308E0EC8" w14:textId="77777777" w:rsidTr="00201AB8">
        <w:trPr>
          <w:trHeight w:val="165"/>
          <w:jc w:val="center"/>
        </w:trPr>
        <w:tc>
          <w:tcPr>
            <w:tcW w:w="4854" w:type="dxa"/>
            <w:tcBorders>
              <w:left w:val="single" w:sz="8" w:space="0" w:color="auto"/>
              <w:bottom w:val="single" w:sz="4" w:space="0" w:color="auto"/>
              <w:right w:val="single" w:sz="8" w:space="0" w:color="auto"/>
            </w:tcBorders>
            <w:shd w:val="clear" w:color="auto" w:fill="auto"/>
            <w:noWrap/>
            <w:vAlign w:val="bottom"/>
          </w:tcPr>
          <w:p w14:paraId="0DF83314" w14:textId="77777777" w:rsidR="008969AB" w:rsidRPr="00824461" w:rsidRDefault="008969AB" w:rsidP="00201AB8">
            <w:pPr>
              <w:rPr>
                <w:sz w:val="18"/>
                <w:szCs w:val="18"/>
              </w:rPr>
            </w:pPr>
            <w:r w:rsidRPr="00824461">
              <w:rPr>
                <w:sz w:val="18"/>
                <w:szCs w:val="18"/>
              </w:rPr>
              <w:t xml:space="preserve">   -Помощи и дарения</w:t>
            </w:r>
          </w:p>
        </w:tc>
        <w:tc>
          <w:tcPr>
            <w:tcW w:w="1276" w:type="dxa"/>
            <w:tcBorders>
              <w:top w:val="nil"/>
              <w:left w:val="nil"/>
              <w:bottom w:val="nil"/>
              <w:right w:val="nil"/>
            </w:tcBorders>
            <w:shd w:val="clear" w:color="auto" w:fill="auto"/>
            <w:noWrap/>
            <w:vAlign w:val="bottom"/>
          </w:tcPr>
          <w:p w14:paraId="05CC467C" w14:textId="77777777" w:rsidR="008969AB" w:rsidRDefault="008969AB" w:rsidP="00201AB8">
            <w:pPr>
              <w:jc w:val="right"/>
              <w:rPr>
                <w:sz w:val="18"/>
                <w:szCs w:val="18"/>
              </w:rPr>
            </w:pPr>
            <w:r>
              <w:rPr>
                <w:sz w:val="18"/>
                <w:szCs w:val="18"/>
              </w:rPr>
              <w:t>0,5</w:t>
            </w:r>
          </w:p>
        </w:tc>
        <w:tc>
          <w:tcPr>
            <w:tcW w:w="1616" w:type="dxa"/>
            <w:tcBorders>
              <w:top w:val="nil"/>
              <w:left w:val="nil"/>
              <w:bottom w:val="nil"/>
              <w:right w:val="nil"/>
            </w:tcBorders>
            <w:shd w:val="clear" w:color="auto" w:fill="auto"/>
            <w:noWrap/>
            <w:vAlign w:val="bottom"/>
          </w:tcPr>
          <w:p w14:paraId="08B8A9B7" w14:textId="77777777" w:rsidR="008969AB" w:rsidRDefault="008969AB" w:rsidP="00201AB8">
            <w:pPr>
              <w:jc w:val="right"/>
              <w:rPr>
                <w:sz w:val="18"/>
                <w:szCs w:val="18"/>
              </w:rPr>
            </w:pPr>
            <w:r>
              <w:rPr>
                <w:sz w:val="18"/>
                <w:szCs w:val="18"/>
              </w:rPr>
              <w:t>350,0</w:t>
            </w:r>
          </w:p>
        </w:tc>
        <w:tc>
          <w:tcPr>
            <w:tcW w:w="1304" w:type="dxa"/>
            <w:tcBorders>
              <w:top w:val="nil"/>
              <w:left w:val="nil"/>
              <w:bottom w:val="nil"/>
              <w:right w:val="single" w:sz="8" w:space="0" w:color="auto"/>
            </w:tcBorders>
            <w:shd w:val="clear" w:color="auto" w:fill="auto"/>
            <w:noWrap/>
            <w:vAlign w:val="bottom"/>
          </w:tcPr>
          <w:p w14:paraId="2F537A78" w14:textId="77777777" w:rsidR="008969AB" w:rsidRDefault="008969AB" w:rsidP="00201AB8">
            <w:pPr>
              <w:jc w:val="right"/>
              <w:rPr>
                <w:sz w:val="18"/>
                <w:szCs w:val="18"/>
              </w:rPr>
            </w:pPr>
          </w:p>
        </w:tc>
      </w:tr>
      <w:tr w:rsidR="008969AB" w:rsidRPr="00AB0993" w14:paraId="26F1FE8D" w14:textId="77777777" w:rsidTr="00201AB8">
        <w:trPr>
          <w:trHeight w:val="199"/>
          <w:jc w:val="center"/>
        </w:trPr>
        <w:tc>
          <w:tcPr>
            <w:tcW w:w="48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D9E98B" w14:textId="77777777" w:rsidR="008969AB" w:rsidRPr="00824461" w:rsidRDefault="008969AB" w:rsidP="00201AB8">
            <w:pPr>
              <w:rPr>
                <w:b/>
                <w:bCs/>
                <w:sz w:val="18"/>
                <w:szCs w:val="18"/>
              </w:rPr>
            </w:pPr>
            <w:r w:rsidRPr="00824461">
              <w:rPr>
                <w:b/>
                <w:bCs/>
                <w:sz w:val="18"/>
                <w:szCs w:val="18"/>
              </w:rPr>
              <w:t xml:space="preserve"> Разходи, трансфери и вноска в бюджета на ЕС</w:t>
            </w:r>
          </w:p>
        </w:tc>
        <w:tc>
          <w:tcPr>
            <w:tcW w:w="1276" w:type="dxa"/>
            <w:tcBorders>
              <w:top w:val="single" w:sz="4" w:space="0" w:color="auto"/>
              <w:left w:val="nil"/>
              <w:bottom w:val="single" w:sz="4" w:space="0" w:color="auto"/>
              <w:right w:val="nil"/>
            </w:tcBorders>
            <w:shd w:val="clear" w:color="auto" w:fill="auto"/>
            <w:noWrap/>
            <w:vAlign w:val="bottom"/>
          </w:tcPr>
          <w:p w14:paraId="46E15FFF" w14:textId="77777777" w:rsidR="008969AB" w:rsidRDefault="008969AB" w:rsidP="00201AB8">
            <w:pPr>
              <w:jc w:val="right"/>
              <w:rPr>
                <w:b/>
                <w:bCs/>
                <w:sz w:val="18"/>
                <w:szCs w:val="18"/>
              </w:rPr>
            </w:pPr>
            <w:r>
              <w:rPr>
                <w:b/>
                <w:bCs/>
                <w:sz w:val="18"/>
                <w:szCs w:val="18"/>
              </w:rPr>
              <w:t>62 301,0</w:t>
            </w:r>
          </w:p>
        </w:tc>
        <w:tc>
          <w:tcPr>
            <w:tcW w:w="1616" w:type="dxa"/>
            <w:tcBorders>
              <w:top w:val="single" w:sz="4" w:space="0" w:color="auto"/>
              <w:left w:val="nil"/>
              <w:bottom w:val="single" w:sz="4" w:space="0" w:color="auto"/>
              <w:right w:val="nil"/>
            </w:tcBorders>
            <w:shd w:val="clear" w:color="auto" w:fill="auto"/>
            <w:noWrap/>
            <w:vAlign w:val="bottom"/>
          </w:tcPr>
          <w:p w14:paraId="4F2CA60F" w14:textId="77777777" w:rsidR="008969AB" w:rsidRDefault="008969AB" w:rsidP="00201AB8">
            <w:pPr>
              <w:jc w:val="right"/>
              <w:rPr>
                <w:b/>
                <w:bCs/>
                <w:sz w:val="18"/>
                <w:szCs w:val="18"/>
              </w:rPr>
            </w:pPr>
            <w:r>
              <w:rPr>
                <w:b/>
                <w:bCs/>
                <w:sz w:val="18"/>
                <w:szCs w:val="18"/>
              </w:rPr>
              <w:t>12 359,3</w:t>
            </w:r>
          </w:p>
        </w:tc>
        <w:tc>
          <w:tcPr>
            <w:tcW w:w="1304" w:type="dxa"/>
            <w:tcBorders>
              <w:top w:val="single" w:sz="4" w:space="0" w:color="auto"/>
              <w:left w:val="nil"/>
              <w:bottom w:val="single" w:sz="4" w:space="0" w:color="auto"/>
              <w:right w:val="single" w:sz="8" w:space="0" w:color="auto"/>
            </w:tcBorders>
            <w:shd w:val="clear" w:color="auto" w:fill="auto"/>
            <w:noWrap/>
            <w:vAlign w:val="bottom"/>
          </w:tcPr>
          <w:p w14:paraId="7EEB60EA" w14:textId="77777777" w:rsidR="008969AB" w:rsidRDefault="008969AB" w:rsidP="00201AB8">
            <w:pPr>
              <w:jc w:val="right"/>
              <w:rPr>
                <w:b/>
                <w:bCs/>
                <w:sz w:val="18"/>
                <w:szCs w:val="18"/>
              </w:rPr>
            </w:pPr>
            <w:r>
              <w:rPr>
                <w:b/>
                <w:bCs/>
                <w:sz w:val="18"/>
                <w:szCs w:val="18"/>
              </w:rPr>
              <w:t>19,8%</w:t>
            </w:r>
          </w:p>
        </w:tc>
      </w:tr>
      <w:tr w:rsidR="008969AB" w:rsidRPr="00AB0993" w14:paraId="1EEB48B7" w14:textId="77777777" w:rsidTr="00201AB8">
        <w:trPr>
          <w:trHeight w:val="101"/>
          <w:jc w:val="center"/>
        </w:trPr>
        <w:tc>
          <w:tcPr>
            <w:tcW w:w="4854" w:type="dxa"/>
            <w:tcBorders>
              <w:top w:val="single" w:sz="4" w:space="0" w:color="auto"/>
              <w:left w:val="single" w:sz="4" w:space="0" w:color="auto"/>
              <w:bottom w:val="nil"/>
              <w:right w:val="single" w:sz="4" w:space="0" w:color="auto"/>
            </w:tcBorders>
            <w:shd w:val="clear" w:color="auto" w:fill="auto"/>
            <w:noWrap/>
            <w:vAlign w:val="bottom"/>
          </w:tcPr>
          <w:p w14:paraId="2CBF1F58" w14:textId="77777777" w:rsidR="008969AB" w:rsidRPr="00824461" w:rsidRDefault="008969AB" w:rsidP="00201AB8">
            <w:pPr>
              <w:rPr>
                <w:b/>
                <w:i/>
                <w:sz w:val="18"/>
                <w:szCs w:val="18"/>
              </w:rPr>
            </w:pPr>
            <w:r w:rsidRPr="00824461">
              <w:rPr>
                <w:b/>
                <w:i/>
                <w:sz w:val="18"/>
                <w:szCs w:val="18"/>
              </w:rPr>
              <w:t xml:space="preserve">   -Нелихвени разходи</w:t>
            </w:r>
          </w:p>
        </w:tc>
        <w:tc>
          <w:tcPr>
            <w:tcW w:w="1276" w:type="dxa"/>
            <w:tcBorders>
              <w:top w:val="single" w:sz="4" w:space="0" w:color="auto"/>
              <w:left w:val="nil"/>
              <w:bottom w:val="nil"/>
              <w:right w:val="nil"/>
            </w:tcBorders>
            <w:shd w:val="clear" w:color="auto" w:fill="auto"/>
            <w:noWrap/>
            <w:vAlign w:val="bottom"/>
          </w:tcPr>
          <w:p w14:paraId="3B224EAE" w14:textId="77777777" w:rsidR="008969AB" w:rsidRDefault="008969AB" w:rsidP="00201AB8">
            <w:pPr>
              <w:jc w:val="right"/>
              <w:rPr>
                <w:sz w:val="18"/>
                <w:szCs w:val="18"/>
              </w:rPr>
            </w:pPr>
            <w:r>
              <w:rPr>
                <w:sz w:val="18"/>
                <w:szCs w:val="18"/>
              </w:rPr>
              <w:t>29 105,5</w:t>
            </w:r>
          </w:p>
        </w:tc>
        <w:tc>
          <w:tcPr>
            <w:tcW w:w="1616" w:type="dxa"/>
            <w:tcBorders>
              <w:top w:val="single" w:sz="4" w:space="0" w:color="auto"/>
              <w:left w:val="nil"/>
              <w:bottom w:val="nil"/>
              <w:right w:val="nil"/>
            </w:tcBorders>
            <w:shd w:val="clear" w:color="auto" w:fill="auto"/>
            <w:noWrap/>
            <w:vAlign w:val="bottom"/>
          </w:tcPr>
          <w:p w14:paraId="2E314FA4" w14:textId="77777777" w:rsidR="008969AB" w:rsidRDefault="008969AB" w:rsidP="00201AB8">
            <w:pPr>
              <w:jc w:val="right"/>
              <w:rPr>
                <w:sz w:val="18"/>
                <w:szCs w:val="18"/>
              </w:rPr>
            </w:pPr>
            <w:r>
              <w:rPr>
                <w:sz w:val="18"/>
                <w:szCs w:val="18"/>
              </w:rPr>
              <w:t>4 121,4</w:t>
            </w:r>
          </w:p>
        </w:tc>
        <w:tc>
          <w:tcPr>
            <w:tcW w:w="1304" w:type="dxa"/>
            <w:tcBorders>
              <w:top w:val="single" w:sz="4" w:space="0" w:color="auto"/>
              <w:left w:val="nil"/>
              <w:bottom w:val="nil"/>
              <w:right w:val="single" w:sz="8" w:space="0" w:color="auto"/>
            </w:tcBorders>
            <w:shd w:val="clear" w:color="auto" w:fill="auto"/>
            <w:noWrap/>
            <w:vAlign w:val="bottom"/>
          </w:tcPr>
          <w:p w14:paraId="34C905AB" w14:textId="77777777" w:rsidR="008969AB" w:rsidRDefault="008969AB" w:rsidP="00201AB8">
            <w:pPr>
              <w:jc w:val="right"/>
              <w:rPr>
                <w:sz w:val="18"/>
                <w:szCs w:val="18"/>
              </w:rPr>
            </w:pPr>
            <w:r>
              <w:rPr>
                <w:sz w:val="18"/>
                <w:szCs w:val="18"/>
              </w:rPr>
              <w:t>14,2%</w:t>
            </w:r>
          </w:p>
        </w:tc>
      </w:tr>
      <w:tr w:rsidR="008969AB" w:rsidRPr="00AB0993" w14:paraId="35752B8E" w14:textId="77777777" w:rsidTr="00201AB8">
        <w:trPr>
          <w:trHeight w:val="80"/>
          <w:jc w:val="center"/>
        </w:trPr>
        <w:tc>
          <w:tcPr>
            <w:tcW w:w="4854" w:type="dxa"/>
            <w:tcBorders>
              <w:top w:val="nil"/>
              <w:left w:val="single" w:sz="4" w:space="0" w:color="auto"/>
              <w:bottom w:val="nil"/>
              <w:right w:val="single" w:sz="4" w:space="0" w:color="auto"/>
            </w:tcBorders>
            <w:shd w:val="clear" w:color="auto" w:fill="auto"/>
            <w:noWrap/>
            <w:vAlign w:val="bottom"/>
          </w:tcPr>
          <w:p w14:paraId="435154EB" w14:textId="77777777" w:rsidR="008969AB" w:rsidRPr="00824461" w:rsidRDefault="008969AB" w:rsidP="00201AB8">
            <w:pPr>
              <w:rPr>
                <w:sz w:val="18"/>
                <w:szCs w:val="18"/>
              </w:rPr>
            </w:pPr>
            <w:r w:rsidRPr="00824461">
              <w:rPr>
                <w:sz w:val="18"/>
                <w:szCs w:val="18"/>
              </w:rPr>
              <w:t xml:space="preserve">      Текущи </w:t>
            </w:r>
          </w:p>
        </w:tc>
        <w:tc>
          <w:tcPr>
            <w:tcW w:w="1276" w:type="dxa"/>
            <w:tcBorders>
              <w:top w:val="nil"/>
              <w:left w:val="nil"/>
              <w:bottom w:val="nil"/>
              <w:right w:val="nil"/>
            </w:tcBorders>
            <w:shd w:val="clear" w:color="auto" w:fill="auto"/>
            <w:noWrap/>
            <w:vAlign w:val="bottom"/>
          </w:tcPr>
          <w:p w14:paraId="22339D4E" w14:textId="77777777" w:rsidR="008969AB" w:rsidRDefault="008969AB" w:rsidP="00201AB8">
            <w:pPr>
              <w:jc w:val="right"/>
              <w:rPr>
                <w:sz w:val="18"/>
                <w:szCs w:val="18"/>
              </w:rPr>
            </w:pPr>
            <w:r>
              <w:rPr>
                <w:sz w:val="18"/>
                <w:szCs w:val="18"/>
              </w:rPr>
              <w:t>23 695,7</w:t>
            </w:r>
          </w:p>
        </w:tc>
        <w:tc>
          <w:tcPr>
            <w:tcW w:w="1616" w:type="dxa"/>
            <w:tcBorders>
              <w:top w:val="nil"/>
              <w:left w:val="nil"/>
              <w:bottom w:val="nil"/>
              <w:right w:val="nil"/>
            </w:tcBorders>
            <w:shd w:val="clear" w:color="auto" w:fill="auto"/>
            <w:noWrap/>
            <w:vAlign w:val="bottom"/>
          </w:tcPr>
          <w:p w14:paraId="31267C53" w14:textId="77777777" w:rsidR="008969AB" w:rsidRDefault="008969AB" w:rsidP="00201AB8">
            <w:pPr>
              <w:jc w:val="right"/>
              <w:rPr>
                <w:sz w:val="18"/>
                <w:szCs w:val="18"/>
              </w:rPr>
            </w:pPr>
            <w:r>
              <w:rPr>
                <w:sz w:val="18"/>
                <w:szCs w:val="18"/>
              </w:rPr>
              <w:t>3 888,6</w:t>
            </w:r>
          </w:p>
        </w:tc>
        <w:tc>
          <w:tcPr>
            <w:tcW w:w="1304" w:type="dxa"/>
            <w:tcBorders>
              <w:top w:val="nil"/>
              <w:left w:val="nil"/>
              <w:bottom w:val="nil"/>
              <w:right w:val="single" w:sz="8" w:space="0" w:color="auto"/>
            </w:tcBorders>
            <w:shd w:val="clear" w:color="auto" w:fill="auto"/>
            <w:noWrap/>
            <w:vAlign w:val="bottom"/>
          </w:tcPr>
          <w:p w14:paraId="2C7C3E77" w14:textId="77777777" w:rsidR="008969AB" w:rsidRDefault="008969AB" w:rsidP="00201AB8">
            <w:pPr>
              <w:jc w:val="right"/>
              <w:rPr>
                <w:sz w:val="18"/>
                <w:szCs w:val="18"/>
              </w:rPr>
            </w:pPr>
            <w:r>
              <w:rPr>
                <w:sz w:val="18"/>
                <w:szCs w:val="18"/>
              </w:rPr>
              <w:t>16,4%</w:t>
            </w:r>
          </w:p>
        </w:tc>
      </w:tr>
      <w:tr w:rsidR="008969AB" w:rsidRPr="00AB0993" w14:paraId="03E4F156" w14:textId="77777777" w:rsidTr="00201AB8">
        <w:trPr>
          <w:trHeight w:val="271"/>
          <w:jc w:val="center"/>
        </w:trPr>
        <w:tc>
          <w:tcPr>
            <w:tcW w:w="4854" w:type="dxa"/>
            <w:tcBorders>
              <w:top w:val="nil"/>
              <w:left w:val="single" w:sz="4" w:space="0" w:color="auto"/>
              <w:bottom w:val="nil"/>
              <w:right w:val="single" w:sz="4" w:space="0" w:color="auto"/>
            </w:tcBorders>
            <w:shd w:val="clear" w:color="auto" w:fill="auto"/>
            <w:noWrap/>
            <w:vAlign w:val="bottom"/>
          </w:tcPr>
          <w:p w14:paraId="6B14B5A2" w14:textId="77777777" w:rsidR="008969AB" w:rsidRPr="00824461" w:rsidRDefault="008969AB" w:rsidP="00201AB8">
            <w:pPr>
              <w:rPr>
                <w:sz w:val="18"/>
                <w:szCs w:val="18"/>
              </w:rPr>
            </w:pPr>
            <w:r w:rsidRPr="00824461">
              <w:rPr>
                <w:sz w:val="18"/>
                <w:szCs w:val="18"/>
              </w:rPr>
              <w:t xml:space="preserve">      Предоставени </w:t>
            </w:r>
            <w:proofErr w:type="spellStart"/>
            <w:r w:rsidRPr="00824461">
              <w:rPr>
                <w:sz w:val="18"/>
                <w:szCs w:val="18"/>
              </w:rPr>
              <w:t>тек</w:t>
            </w:r>
            <w:proofErr w:type="spellEnd"/>
            <w:r w:rsidRPr="00824461">
              <w:rPr>
                <w:sz w:val="18"/>
                <w:szCs w:val="18"/>
              </w:rPr>
              <w:t xml:space="preserve">. и </w:t>
            </w:r>
            <w:proofErr w:type="spellStart"/>
            <w:r w:rsidRPr="00824461">
              <w:rPr>
                <w:sz w:val="18"/>
                <w:szCs w:val="18"/>
              </w:rPr>
              <w:t>капит</w:t>
            </w:r>
            <w:proofErr w:type="spellEnd"/>
            <w:r w:rsidRPr="00824461">
              <w:rPr>
                <w:sz w:val="18"/>
                <w:szCs w:val="18"/>
              </w:rPr>
              <w:t>. трансфери за чужбина</w:t>
            </w:r>
          </w:p>
        </w:tc>
        <w:tc>
          <w:tcPr>
            <w:tcW w:w="1276" w:type="dxa"/>
            <w:tcBorders>
              <w:top w:val="nil"/>
              <w:left w:val="nil"/>
              <w:bottom w:val="nil"/>
              <w:right w:val="nil"/>
            </w:tcBorders>
            <w:shd w:val="clear" w:color="auto" w:fill="auto"/>
            <w:noWrap/>
            <w:vAlign w:val="bottom"/>
          </w:tcPr>
          <w:p w14:paraId="1488F9E5" w14:textId="77777777" w:rsidR="008969AB" w:rsidRDefault="008969AB" w:rsidP="00201AB8">
            <w:pPr>
              <w:jc w:val="right"/>
              <w:rPr>
                <w:sz w:val="18"/>
                <w:szCs w:val="18"/>
              </w:rPr>
            </w:pPr>
            <w:r>
              <w:rPr>
                <w:sz w:val="18"/>
                <w:szCs w:val="18"/>
              </w:rPr>
              <w:t>27,7</w:t>
            </w:r>
          </w:p>
        </w:tc>
        <w:tc>
          <w:tcPr>
            <w:tcW w:w="1616" w:type="dxa"/>
            <w:tcBorders>
              <w:top w:val="nil"/>
              <w:left w:val="nil"/>
              <w:bottom w:val="nil"/>
              <w:right w:val="nil"/>
            </w:tcBorders>
            <w:shd w:val="clear" w:color="auto" w:fill="auto"/>
            <w:noWrap/>
            <w:vAlign w:val="bottom"/>
          </w:tcPr>
          <w:p w14:paraId="65E78B59" w14:textId="77777777" w:rsidR="008969AB" w:rsidRDefault="008969AB" w:rsidP="00201AB8">
            <w:pPr>
              <w:jc w:val="right"/>
              <w:rPr>
                <w:sz w:val="18"/>
                <w:szCs w:val="18"/>
              </w:rPr>
            </w:pPr>
            <w:r>
              <w:rPr>
                <w:sz w:val="18"/>
                <w:szCs w:val="18"/>
              </w:rPr>
              <w:t>1,5</w:t>
            </w:r>
          </w:p>
        </w:tc>
        <w:tc>
          <w:tcPr>
            <w:tcW w:w="1304" w:type="dxa"/>
            <w:tcBorders>
              <w:top w:val="nil"/>
              <w:left w:val="nil"/>
              <w:bottom w:val="nil"/>
              <w:right w:val="single" w:sz="8" w:space="0" w:color="auto"/>
            </w:tcBorders>
            <w:shd w:val="clear" w:color="auto" w:fill="auto"/>
            <w:noWrap/>
            <w:vAlign w:val="bottom"/>
          </w:tcPr>
          <w:p w14:paraId="7ED9C845" w14:textId="77777777" w:rsidR="008969AB" w:rsidRDefault="008969AB" w:rsidP="00201AB8">
            <w:pPr>
              <w:jc w:val="right"/>
              <w:rPr>
                <w:sz w:val="18"/>
                <w:szCs w:val="18"/>
              </w:rPr>
            </w:pPr>
            <w:r>
              <w:rPr>
                <w:sz w:val="18"/>
                <w:szCs w:val="18"/>
              </w:rPr>
              <w:t>5,6%</w:t>
            </w:r>
          </w:p>
        </w:tc>
      </w:tr>
      <w:tr w:rsidR="008969AB" w:rsidRPr="00AB0993" w14:paraId="17C66AD8" w14:textId="77777777" w:rsidTr="00201AB8">
        <w:trPr>
          <w:trHeight w:val="179"/>
          <w:jc w:val="center"/>
        </w:trPr>
        <w:tc>
          <w:tcPr>
            <w:tcW w:w="4854" w:type="dxa"/>
            <w:tcBorders>
              <w:top w:val="nil"/>
              <w:left w:val="single" w:sz="4" w:space="0" w:color="auto"/>
              <w:bottom w:val="nil"/>
              <w:right w:val="single" w:sz="4" w:space="0" w:color="auto"/>
            </w:tcBorders>
            <w:shd w:val="clear" w:color="auto" w:fill="auto"/>
            <w:noWrap/>
            <w:vAlign w:val="bottom"/>
          </w:tcPr>
          <w:p w14:paraId="010B23DF" w14:textId="77777777" w:rsidR="008969AB" w:rsidRPr="00824461" w:rsidRDefault="008969AB" w:rsidP="00201AB8">
            <w:pPr>
              <w:rPr>
                <w:sz w:val="18"/>
                <w:szCs w:val="18"/>
              </w:rPr>
            </w:pPr>
            <w:r w:rsidRPr="00824461">
              <w:rPr>
                <w:sz w:val="18"/>
                <w:szCs w:val="18"/>
              </w:rPr>
              <w:t xml:space="preserve">      Капиталови</w:t>
            </w:r>
          </w:p>
        </w:tc>
        <w:tc>
          <w:tcPr>
            <w:tcW w:w="1276" w:type="dxa"/>
            <w:tcBorders>
              <w:top w:val="nil"/>
              <w:left w:val="nil"/>
              <w:bottom w:val="nil"/>
              <w:right w:val="nil"/>
            </w:tcBorders>
            <w:shd w:val="clear" w:color="auto" w:fill="auto"/>
            <w:noWrap/>
            <w:vAlign w:val="bottom"/>
          </w:tcPr>
          <w:p w14:paraId="236BDB42" w14:textId="77777777" w:rsidR="008969AB" w:rsidRDefault="008969AB" w:rsidP="00201AB8">
            <w:pPr>
              <w:jc w:val="right"/>
              <w:rPr>
                <w:sz w:val="18"/>
                <w:szCs w:val="18"/>
              </w:rPr>
            </w:pPr>
            <w:r>
              <w:rPr>
                <w:sz w:val="18"/>
                <w:szCs w:val="18"/>
              </w:rPr>
              <w:t>5 382,1</w:t>
            </w:r>
          </w:p>
        </w:tc>
        <w:tc>
          <w:tcPr>
            <w:tcW w:w="1616" w:type="dxa"/>
            <w:tcBorders>
              <w:top w:val="nil"/>
              <w:left w:val="nil"/>
              <w:bottom w:val="nil"/>
              <w:right w:val="nil"/>
            </w:tcBorders>
            <w:shd w:val="clear" w:color="auto" w:fill="auto"/>
            <w:noWrap/>
            <w:vAlign w:val="bottom"/>
          </w:tcPr>
          <w:p w14:paraId="7BC7441F" w14:textId="77777777" w:rsidR="008969AB" w:rsidRDefault="008969AB" w:rsidP="00201AB8">
            <w:pPr>
              <w:jc w:val="right"/>
              <w:rPr>
                <w:sz w:val="18"/>
                <w:szCs w:val="18"/>
              </w:rPr>
            </w:pPr>
            <w:r>
              <w:rPr>
                <w:sz w:val="18"/>
                <w:szCs w:val="18"/>
              </w:rPr>
              <w:t>231,2</w:t>
            </w:r>
          </w:p>
        </w:tc>
        <w:tc>
          <w:tcPr>
            <w:tcW w:w="1304" w:type="dxa"/>
            <w:tcBorders>
              <w:top w:val="nil"/>
              <w:left w:val="nil"/>
              <w:bottom w:val="nil"/>
              <w:right w:val="single" w:sz="8" w:space="0" w:color="auto"/>
            </w:tcBorders>
            <w:shd w:val="clear" w:color="auto" w:fill="auto"/>
            <w:noWrap/>
            <w:vAlign w:val="bottom"/>
          </w:tcPr>
          <w:p w14:paraId="268D5A1A" w14:textId="77777777" w:rsidR="008969AB" w:rsidRDefault="008969AB" w:rsidP="00201AB8">
            <w:pPr>
              <w:jc w:val="right"/>
              <w:rPr>
                <w:sz w:val="18"/>
                <w:szCs w:val="18"/>
              </w:rPr>
            </w:pPr>
            <w:r>
              <w:rPr>
                <w:sz w:val="18"/>
                <w:szCs w:val="18"/>
              </w:rPr>
              <w:t>4,3%</w:t>
            </w:r>
          </w:p>
        </w:tc>
      </w:tr>
      <w:tr w:rsidR="008969AB" w:rsidRPr="00AB0993" w14:paraId="5187F7A2" w14:textId="77777777" w:rsidTr="00201AB8">
        <w:trPr>
          <w:trHeight w:val="80"/>
          <w:jc w:val="center"/>
        </w:trPr>
        <w:tc>
          <w:tcPr>
            <w:tcW w:w="4854" w:type="dxa"/>
            <w:tcBorders>
              <w:top w:val="nil"/>
              <w:left w:val="single" w:sz="4" w:space="0" w:color="auto"/>
              <w:bottom w:val="nil"/>
              <w:right w:val="single" w:sz="4" w:space="0" w:color="auto"/>
            </w:tcBorders>
            <w:shd w:val="clear" w:color="auto" w:fill="auto"/>
            <w:noWrap/>
            <w:vAlign w:val="bottom"/>
          </w:tcPr>
          <w:p w14:paraId="31FD9A51" w14:textId="77777777" w:rsidR="008969AB" w:rsidRPr="00824461" w:rsidRDefault="008969AB" w:rsidP="00201AB8">
            <w:pPr>
              <w:rPr>
                <w:b/>
                <w:i/>
                <w:sz w:val="18"/>
                <w:szCs w:val="18"/>
              </w:rPr>
            </w:pPr>
            <w:r w:rsidRPr="00824461">
              <w:rPr>
                <w:b/>
                <w:i/>
                <w:sz w:val="18"/>
                <w:szCs w:val="18"/>
              </w:rPr>
              <w:t xml:space="preserve">   -Лихви</w:t>
            </w:r>
          </w:p>
        </w:tc>
        <w:tc>
          <w:tcPr>
            <w:tcW w:w="1276" w:type="dxa"/>
            <w:tcBorders>
              <w:top w:val="nil"/>
              <w:left w:val="nil"/>
              <w:bottom w:val="nil"/>
              <w:right w:val="nil"/>
            </w:tcBorders>
            <w:shd w:val="clear" w:color="auto" w:fill="auto"/>
            <w:noWrap/>
            <w:vAlign w:val="bottom"/>
          </w:tcPr>
          <w:p w14:paraId="6915D197" w14:textId="77777777" w:rsidR="008969AB" w:rsidRDefault="008969AB" w:rsidP="00201AB8">
            <w:pPr>
              <w:jc w:val="right"/>
              <w:rPr>
                <w:sz w:val="18"/>
                <w:szCs w:val="18"/>
              </w:rPr>
            </w:pPr>
            <w:r>
              <w:rPr>
                <w:sz w:val="18"/>
                <w:szCs w:val="18"/>
              </w:rPr>
              <w:t>1 567,0</w:t>
            </w:r>
          </w:p>
        </w:tc>
        <w:tc>
          <w:tcPr>
            <w:tcW w:w="1616" w:type="dxa"/>
            <w:tcBorders>
              <w:top w:val="nil"/>
              <w:left w:val="nil"/>
              <w:bottom w:val="nil"/>
              <w:right w:val="nil"/>
            </w:tcBorders>
            <w:shd w:val="clear" w:color="auto" w:fill="auto"/>
            <w:noWrap/>
            <w:vAlign w:val="bottom"/>
          </w:tcPr>
          <w:p w14:paraId="05168898" w14:textId="77777777" w:rsidR="008969AB" w:rsidRDefault="008969AB" w:rsidP="00201AB8">
            <w:pPr>
              <w:jc w:val="right"/>
              <w:rPr>
                <w:sz w:val="18"/>
                <w:szCs w:val="18"/>
              </w:rPr>
            </w:pPr>
            <w:r>
              <w:rPr>
                <w:sz w:val="18"/>
                <w:szCs w:val="18"/>
              </w:rPr>
              <w:t>396,6</w:t>
            </w:r>
          </w:p>
        </w:tc>
        <w:tc>
          <w:tcPr>
            <w:tcW w:w="1304" w:type="dxa"/>
            <w:tcBorders>
              <w:top w:val="nil"/>
              <w:left w:val="nil"/>
              <w:bottom w:val="nil"/>
              <w:right w:val="single" w:sz="8" w:space="0" w:color="auto"/>
            </w:tcBorders>
            <w:shd w:val="clear" w:color="auto" w:fill="auto"/>
            <w:noWrap/>
            <w:vAlign w:val="bottom"/>
          </w:tcPr>
          <w:p w14:paraId="4C82D090" w14:textId="77777777" w:rsidR="008969AB" w:rsidRDefault="008969AB" w:rsidP="00201AB8">
            <w:pPr>
              <w:jc w:val="right"/>
              <w:rPr>
                <w:sz w:val="18"/>
                <w:szCs w:val="18"/>
              </w:rPr>
            </w:pPr>
            <w:r>
              <w:rPr>
                <w:sz w:val="18"/>
                <w:szCs w:val="18"/>
              </w:rPr>
              <w:t>25,3%</w:t>
            </w:r>
          </w:p>
        </w:tc>
      </w:tr>
      <w:tr w:rsidR="008969AB" w:rsidRPr="00AB0993" w14:paraId="41A82640" w14:textId="77777777" w:rsidTr="00201AB8">
        <w:trPr>
          <w:trHeight w:val="80"/>
          <w:jc w:val="center"/>
        </w:trPr>
        <w:tc>
          <w:tcPr>
            <w:tcW w:w="4854" w:type="dxa"/>
            <w:tcBorders>
              <w:top w:val="nil"/>
              <w:left w:val="single" w:sz="4" w:space="0" w:color="auto"/>
              <w:bottom w:val="nil"/>
              <w:right w:val="single" w:sz="4" w:space="0" w:color="auto"/>
            </w:tcBorders>
            <w:shd w:val="clear" w:color="auto" w:fill="auto"/>
            <w:noWrap/>
            <w:vAlign w:val="bottom"/>
          </w:tcPr>
          <w:p w14:paraId="6833DB17" w14:textId="77777777" w:rsidR="008969AB" w:rsidRPr="00824461" w:rsidRDefault="008969AB" w:rsidP="00201AB8">
            <w:pPr>
              <w:rPr>
                <w:sz w:val="18"/>
                <w:szCs w:val="18"/>
              </w:rPr>
            </w:pPr>
            <w:r w:rsidRPr="00824461">
              <w:rPr>
                <w:sz w:val="18"/>
                <w:szCs w:val="18"/>
              </w:rPr>
              <w:t xml:space="preserve">      По външни заеми</w:t>
            </w:r>
          </w:p>
        </w:tc>
        <w:tc>
          <w:tcPr>
            <w:tcW w:w="1276" w:type="dxa"/>
            <w:tcBorders>
              <w:top w:val="nil"/>
              <w:left w:val="nil"/>
              <w:bottom w:val="nil"/>
              <w:right w:val="nil"/>
            </w:tcBorders>
            <w:shd w:val="clear" w:color="auto" w:fill="auto"/>
            <w:noWrap/>
            <w:vAlign w:val="bottom"/>
          </w:tcPr>
          <w:p w14:paraId="2868E802" w14:textId="77777777" w:rsidR="008969AB" w:rsidRDefault="008969AB" w:rsidP="00201AB8">
            <w:pPr>
              <w:jc w:val="right"/>
              <w:rPr>
                <w:sz w:val="18"/>
                <w:szCs w:val="18"/>
              </w:rPr>
            </w:pPr>
            <w:r>
              <w:rPr>
                <w:sz w:val="18"/>
                <w:szCs w:val="18"/>
              </w:rPr>
              <w:t>1 349,1</w:t>
            </w:r>
          </w:p>
        </w:tc>
        <w:tc>
          <w:tcPr>
            <w:tcW w:w="1616" w:type="dxa"/>
            <w:tcBorders>
              <w:top w:val="nil"/>
              <w:left w:val="nil"/>
              <w:bottom w:val="nil"/>
              <w:right w:val="nil"/>
            </w:tcBorders>
            <w:shd w:val="clear" w:color="auto" w:fill="auto"/>
            <w:noWrap/>
            <w:vAlign w:val="bottom"/>
          </w:tcPr>
          <w:p w14:paraId="5B9968B8" w14:textId="77777777" w:rsidR="008969AB" w:rsidRDefault="008969AB" w:rsidP="00201AB8">
            <w:pPr>
              <w:jc w:val="right"/>
              <w:rPr>
                <w:sz w:val="18"/>
                <w:szCs w:val="18"/>
              </w:rPr>
            </w:pPr>
            <w:r>
              <w:rPr>
                <w:sz w:val="18"/>
                <w:szCs w:val="18"/>
              </w:rPr>
              <w:t>363,7</w:t>
            </w:r>
          </w:p>
        </w:tc>
        <w:tc>
          <w:tcPr>
            <w:tcW w:w="1304" w:type="dxa"/>
            <w:tcBorders>
              <w:top w:val="nil"/>
              <w:left w:val="nil"/>
              <w:bottom w:val="nil"/>
              <w:right w:val="single" w:sz="8" w:space="0" w:color="auto"/>
            </w:tcBorders>
            <w:shd w:val="clear" w:color="auto" w:fill="auto"/>
            <w:noWrap/>
            <w:vAlign w:val="bottom"/>
          </w:tcPr>
          <w:p w14:paraId="27534C70" w14:textId="77777777" w:rsidR="008969AB" w:rsidRDefault="008969AB" w:rsidP="00201AB8">
            <w:pPr>
              <w:jc w:val="right"/>
              <w:rPr>
                <w:sz w:val="18"/>
                <w:szCs w:val="18"/>
              </w:rPr>
            </w:pPr>
            <w:r>
              <w:rPr>
                <w:sz w:val="18"/>
                <w:szCs w:val="18"/>
              </w:rPr>
              <w:t>27,0%</w:t>
            </w:r>
          </w:p>
        </w:tc>
      </w:tr>
      <w:tr w:rsidR="008969AB" w:rsidRPr="00AB0993" w14:paraId="47A4B830" w14:textId="77777777" w:rsidTr="00201AB8">
        <w:trPr>
          <w:trHeight w:val="60"/>
          <w:jc w:val="center"/>
        </w:trPr>
        <w:tc>
          <w:tcPr>
            <w:tcW w:w="4854" w:type="dxa"/>
            <w:tcBorders>
              <w:top w:val="nil"/>
              <w:left w:val="single" w:sz="4" w:space="0" w:color="auto"/>
              <w:bottom w:val="nil"/>
              <w:right w:val="single" w:sz="4" w:space="0" w:color="auto"/>
            </w:tcBorders>
            <w:shd w:val="clear" w:color="auto" w:fill="auto"/>
            <w:noWrap/>
            <w:vAlign w:val="bottom"/>
          </w:tcPr>
          <w:p w14:paraId="6AD03C9D" w14:textId="77777777" w:rsidR="008969AB" w:rsidRPr="00824461" w:rsidRDefault="008969AB" w:rsidP="00201AB8">
            <w:pPr>
              <w:rPr>
                <w:sz w:val="18"/>
                <w:szCs w:val="18"/>
              </w:rPr>
            </w:pPr>
            <w:r w:rsidRPr="00824461">
              <w:rPr>
                <w:sz w:val="18"/>
                <w:szCs w:val="18"/>
              </w:rPr>
              <w:t xml:space="preserve">      По вътрешни заеми</w:t>
            </w:r>
          </w:p>
        </w:tc>
        <w:tc>
          <w:tcPr>
            <w:tcW w:w="1276" w:type="dxa"/>
            <w:tcBorders>
              <w:top w:val="nil"/>
              <w:left w:val="nil"/>
              <w:bottom w:val="nil"/>
              <w:right w:val="nil"/>
            </w:tcBorders>
            <w:shd w:val="clear" w:color="auto" w:fill="auto"/>
            <w:noWrap/>
            <w:vAlign w:val="bottom"/>
          </w:tcPr>
          <w:p w14:paraId="51B24B4B" w14:textId="77777777" w:rsidR="008969AB" w:rsidRDefault="008969AB" w:rsidP="00201AB8">
            <w:pPr>
              <w:jc w:val="right"/>
              <w:rPr>
                <w:sz w:val="18"/>
                <w:szCs w:val="18"/>
              </w:rPr>
            </w:pPr>
            <w:r>
              <w:rPr>
                <w:sz w:val="18"/>
                <w:szCs w:val="18"/>
              </w:rPr>
              <w:t>217,9</w:t>
            </w:r>
          </w:p>
        </w:tc>
        <w:tc>
          <w:tcPr>
            <w:tcW w:w="1616" w:type="dxa"/>
            <w:tcBorders>
              <w:top w:val="nil"/>
              <w:left w:val="nil"/>
              <w:bottom w:val="nil"/>
              <w:right w:val="nil"/>
            </w:tcBorders>
            <w:shd w:val="clear" w:color="auto" w:fill="auto"/>
            <w:noWrap/>
            <w:vAlign w:val="bottom"/>
          </w:tcPr>
          <w:p w14:paraId="3FFF6A9E" w14:textId="77777777" w:rsidR="008969AB" w:rsidRDefault="008969AB" w:rsidP="00201AB8">
            <w:pPr>
              <w:jc w:val="right"/>
              <w:rPr>
                <w:sz w:val="18"/>
                <w:szCs w:val="18"/>
              </w:rPr>
            </w:pPr>
            <w:r>
              <w:rPr>
                <w:sz w:val="18"/>
                <w:szCs w:val="18"/>
              </w:rPr>
              <w:t>32,9</w:t>
            </w:r>
          </w:p>
        </w:tc>
        <w:tc>
          <w:tcPr>
            <w:tcW w:w="1304" w:type="dxa"/>
            <w:tcBorders>
              <w:top w:val="nil"/>
              <w:left w:val="nil"/>
              <w:bottom w:val="nil"/>
              <w:right w:val="single" w:sz="8" w:space="0" w:color="auto"/>
            </w:tcBorders>
            <w:shd w:val="clear" w:color="auto" w:fill="auto"/>
            <w:noWrap/>
            <w:vAlign w:val="bottom"/>
          </w:tcPr>
          <w:p w14:paraId="44A9F83B" w14:textId="77777777" w:rsidR="008969AB" w:rsidRDefault="008969AB" w:rsidP="00201AB8">
            <w:pPr>
              <w:jc w:val="right"/>
              <w:rPr>
                <w:sz w:val="18"/>
                <w:szCs w:val="18"/>
              </w:rPr>
            </w:pPr>
            <w:r>
              <w:rPr>
                <w:sz w:val="18"/>
                <w:szCs w:val="18"/>
              </w:rPr>
              <w:t>15,1%</w:t>
            </w:r>
          </w:p>
        </w:tc>
      </w:tr>
      <w:tr w:rsidR="008969AB" w:rsidRPr="00AB0993" w14:paraId="4D3A1C24" w14:textId="77777777" w:rsidTr="00201AB8">
        <w:trPr>
          <w:trHeight w:val="85"/>
          <w:jc w:val="center"/>
        </w:trPr>
        <w:tc>
          <w:tcPr>
            <w:tcW w:w="4854" w:type="dxa"/>
            <w:tcBorders>
              <w:top w:val="nil"/>
              <w:left w:val="single" w:sz="4" w:space="0" w:color="auto"/>
              <w:bottom w:val="nil"/>
              <w:right w:val="single" w:sz="4" w:space="0" w:color="auto"/>
            </w:tcBorders>
            <w:shd w:val="clear" w:color="auto" w:fill="auto"/>
            <w:noWrap/>
            <w:vAlign w:val="bottom"/>
          </w:tcPr>
          <w:p w14:paraId="153AF197" w14:textId="77777777" w:rsidR="008969AB" w:rsidRPr="003A2DAE" w:rsidRDefault="008969AB" w:rsidP="00201AB8">
            <w:pPr>
              <w:rPr>
                <w:b/>
                <w:i/>
                <w:sz w:val="18"/>
                <w:szCs w:val="18"/>
              </w:rPr>
            </w:pPr>
            <w:r w:rsidRPr="003A2DAE">
              <w:rPr>
                <w:b/>
                <w:i/>
                <w:sz w:val="18"/>
                <w:szCs w:val="18"/>
              </w:rPr>
              <w:t xml:space="preserve"> - Резерв за непредвидени и неотложни разходи</w:t>
            </w:r>
            <w:r w:rsidRPr="003A2DAE">
              <w:rPr>
                <w:rStyle w:val="FootnoteReference"/>
                <w:b/>
                <w:i/>
                <w:sz w:val="18"/>
                <w:szCs w:val="18"/>
              </w:rPr>
              <w:footnoteReference w:id="12"/>
            </w:r>
            <w:r w:rsidRPr="003A2DAE">
              <w:rPr>
                <w:b/>
                <w:i/>
                <w:sz w:val="18"/>
                <w:szCs w:val="18"/>
              </w:rPr>
              <w:tab/>
            </w:r>
          </w:p>
        </w:tc>
        <w:tc>
          <w:tcPr>
            <w:tcW w:w="1276" w:type="dxa"/>
            <w:tcBorders>
              <w:top w:val="nil"/>
              <w:left w:val="nil"/>
              <w:bottom w:val="nil"/>
              <w:right w:val="nil"/>
            </w:tcBorders>
            <w:shd w:val="clear" w:color="auto" w:fill="auto"/>
            <w:noWrap/>
            <w:vAlign w:val="bottom"/>
          </w:tcPr>
          <w:p w14:paraId="1152F3C4" w14:textId="77777777" w:rsidR="008969AB" w:rsidRPr="003A2DAE" w:rsidRDefault="008969AB" w:rsidP="00201AB8">
            <w:pPr>
              <w:jc w:val="right"/>
              <w:rPr>
                <w:sz w:val="18"/>
                <w:szCs w:val="18"/>
              </w:rPr>
            </w:pPr>
            <w:r w:rsidRPr="003A2DAE">
              <w:rPr>
                <w:sz w:val="18"/>
                <w:szCs w:val="18"/>
              </w:rPr>
              <w:t>131,4</w:t>
            </w:r>
          </w:p>
        </w:tc>
        <w:tc>
          <w:tcPr>
            <w:tcW w:w="1616" w:type="dxa"/>
            <w:tcBorders>
              <w:top w:val="nil"/>
              <w:left w:val="nil"/>
              <w:bottom w:val="nil"/>
              <w:right w:val="nil"/>
            </w:tcBorders>
            <w:shd w:val="clear" w:color="auto" w:fill="auto"/>
            <w:noWrap/>
            <w:vAlign w:val="bottom"/>
          </w:tcPr>
          <w:p w14:paraId="365E6BBD" w14:textId="77777777" w:rsidR="008969AB" w:rsidRPr="003A2DAE" w:rsidRDefault="008969AB" w:rsidP="00201AB8">
            <w:pPr>
              <w:jc w:val="right"/>
              <w:rPr>
                <w:sz w:val="18"/>
                <w:szCs w:val="18"/>
              </w:rPr>
            </w:pPr>
          </w:p>
        </w:tc>
        <w:tc>
          <w:tcPr>
            <w:tcW w:w="1304" w:type="dxa"/>
            <w:tcBorders>
              <w:top w:val="nil"/>
              <w:left w:val="nil"/>
              <w:bottom w:val="nil"/>
              <w:right w:val="single" w:sz="8" w:space="0" w:color="auto"/>
            </w:tcBorders>
            <w:shd w:val="clear" w:color="auto" w:fill="auto"/>
            <w:noWrap/>
            <w:vAlign w:val="bottom"/>
          </w:tcPr>
          <w:p w14:paraId="5F57FAB7" w14:textId="77777777" w:rsidR="008969AB" w:rsidRDefault="008969AB" w:rsidP="00201AB8">
            <w:pPr>
              <w:rPr>
                <w:sz w:val="18"/>
                <w:szCs w:val="18"/>
              </w:rPr>
            </w:pPr>
            <w:r>
              <w:rPr>
                <w:sz w:val="18"/>
                <w:szCs w:val="18"/>
              </w:rPr>
              <w:t> </w:t>
            </w:r>
          </w:p>
        </w:tc>
      </w:tr>
      <w:tr w:rsidR="008969AB" w:rsidRPr="00AB0993" w14:paraId="4C1C0526" w14:textId="77777777" w:rsidTr="00201AB8">
        <w:trPr>
          <w:trHeight w:val="85"/>
          <w:jc w:val="center"/>
        </w:trPr>
        <w:tc>
          <w:tcPr>
            <w:tcW w:w="4854" w:type="dxa"/>
            <w:tcBorders>
              <w:top w:val="nil"/>
              <w:left w:val="single" w:sz="4" w:space="0" w:color="auto"/>
              <w:bottom w:val="nil"/>
              <w:right w:val="single" w:sz="4" w:space="0" w:color="auto"/>
            </w:tcBorders>
            <w:shd w:val="clear" w:color="auto" w:fill="auto"/>
            <w:noWrap/>
            <w:vAlign w:val="bottom"/>
          </w:tcPr>
          <w:p w14:paraId="49566CDD" w14:textId="77777777" w:rsidR="008969AB" w:rsidRPr="00824461" w:rsidRDefault="008969AB" w:rsidP="00201AB8">
            <w:pPr>
              <w:rPr>
                <w:b/>
                <w:i/>
                <w:sz w:val="18"/>
                <w:szCs w:val="18"/>
              </w:rPr>
            </w:pPr>
            <w:r w:rsidRPr="00824461">
              <w:rPr>
                <w:b/>
                <w:i/>
                <w:sz w:val="18"/>
                <w:szCs w:val="18"/>
              </w:rPr>
              <w:t xml:space="preserve"> -</w:t>
            </w:r>
            <w:r>
              <w:rPr>
                <w:b/>
                <w:i/>
                <w:sz w:val="18"/>
                <w:szCs w:val="18"/>
              </w:rPr>
              <w:t xml:space="preserve"> </w:t>
            </w:r>
            <w:r w:rsidRPr="00824461">
              <w:rPr>
                <w:b/>
                <w:i/>
                <w:sz w:val="18"/>
                <w:szCs w:val="18"/>
              </w:rPr>
              <w:t>Трансфери за  др. бюджети – нето</w:t>
            </w:r>
          </w:p>
        </w:tc>
        <w:tc>
          <w:tcPr>
            <w:tcW w:w="1276" w:type="dxa"/>
            <w:tcBorders>
              <w:top w:val="nil"/>
              <w:left w:val="nil"/>
              <w:bottom w:val="nil"/>
              <w:right w:val="nil"/>
            </w:tcBorders>
            <w:shd w:val="clear" w:color="auto" w:fill="auto"/>
            <w:noWrap/>
            <w:vAlign w:val="bottom"/>
          </w:tcPr>
          <w:p w14:paraId="139B47AF" w14:textId="77777777" w:rsidR="008969AB" w:rsidRDefault="008969AB" w:rsidP="00201AB8">
            <w:pPr>
              <w:jc w:val="right"/>
              <w:rPr>
                <w:sz w:val="18"/>
                <w:szCs w:val="18"/>
              </w:rPr>
            </w:pPr>
            <w:r>
              <w:rPr>
                <w:sz w:val="18"/>
                <w:szCs w:val="18"/>
              </w:rPr>
              <w:t>29 476,6</w:t>
            </w:r>
          </w:p>
        </w:tc>
        <w:tc>
          <w:tcPr>
            <w:tcW w:w="1616" w:type="dxa"/>
            <w:tcBorders>
              <w:top w:val="nil"/>
              <w:left w:val="nil"/>
              <w:bottom w:val="nil"/>
              <w:right w:val="nil"/>
            </w:tcBorders>
            <w:shd w:val="clear" w:color="auto" w:fill="auto"/>
            <w:noWrap/>
            <w:vAlign w:val="bottom"/>
          </w:tcPr>
          <w:p w14:paraId="4719BF8B" w14:textId="77777777" w:rsidR="008969AB" w:rsidRDefault="008969AB" w:rsidP="00201AB8">
            <w:pPr>
              <w:jc w:val="right"/>
              <w:rPr>
                <w:sz w:val="18"/>
                <w:szCs w:val="18"/>
              </w:rPr>
            </w:pPr>
            <w:r>
              <w:rPr>
                <w:sz w:val="18"/>
                <w:szCs w:val="18"/>
              </w:rPr>
              <w:t>7 333,0</w:t>
            </w:r>
          </w:p>
        </w:tc>
        <w:tc>
          <w:tcPr>
            <w:tcW w:w="1304" w:type="dxa"/>
            <w:tcBorders>
              <w:top w:val="nil"/>
              <w:left w:val="nil"/>
              <w:bottom w:val="nil"/>
              <w:right w:val="single" w:sz="8" w:space="0" w:color="auto"/>
            </w:tcBorders>
            <w:shd w:val="clear" w:color="auto" w:fill="auto"/>
            <w:noWrap/>
            <w:vAlign w:val="bottom"/>
          </w:tcPr>
          <w:p w14:paraId="41D60F76" w14:textId="77777777" w:rsidR="008969AB" w:rsidRDefault="008969AB" w:rsidP="00201AB8">
            <w:pPr>
              <w:jc w:val="right"/>
              <w:rPr>
                <w:sz w:val="18"/>
                <w:szCs w:val="18"/>
              </w:rPr>
            </w:pPr>
            <w:r>
              <w:rPr>
                <w:sz w:val="18"/>
                <w:szCs w:val="18"/>
              </w:rPr>
              <w:t>24,9%</w:t>
            </w:r>
          </w:p>
        </w:tc>
      </w:tr>
      <w:tr w:rsidR="008969AB" w:rsidRPr="00AB0993" w14:paraId="0C77D5C9" w14:textId="77777777" w:rsidTr="00201AB8">
        <w:trPr>
          <w:trHeight w:val="60"/>
          <w:jc w:val="center"/>
        </w:trPr>
        <w:tc>
          <w:tcPr>
            <w:tcW w:w="4854" w:type="dxa"/>
            <w:tcBorders>
              <w:top w:val="nil"/>
              <w:left w:val="single" w:sz="4" w:space="0" w:color="auto"/>
              <w:bottom w:val="single" w:sz="4" w:space="0" w:color="auto"/>
              <w:right w:val="single" w:sz="4" w:space="0" w:color="auto"/>
            </w:tcBorders>
            <w:shd w:val="clear" w:color="auto" w:fill="auto"/>
            <w:noWrap/>
            <w:vAlign w:val="bottom"/>
          </w:tcPr>
          <w:p w14:paraId="69FE5021" w14:textId="77777777" w:rsidR="008969AB" w:rsidRPr="00824461" w:rsidRDefault="008969AB" w:rsidP="00201AB8">
            <w:pPr>
              <w:rPr>
                <w:b/>
                <w:bCs/>
                <w:i/>
                <w:sz w:val="18"/>
                <w:szCs w:val="18"/>
              </w:rPr>
            </w:pPr>
            <w:r w:rsidRPr="00824461">
              <w:rPr>
                <w:b/>
                <w:bCs/>
                <w:i/>
                <w:sz w:val="18"/>
                <w:szCs w:val="18"/>
              </w:rPr>
              <w:t xml:space="preserve"> - Вноска в бюджета на ЕС</w:t>
            </w:r>
          </w:p>
        </w:tc>
        <w:tc>
          <w:tcPr>
            <w:tcW w:w="1276" w:type="dxa"/>
            <w:tcBorders>
              <w:top w:val="nil"/>
              <w:left w:val="nil"/>
              <w:bottom w:val="single" w:sz="4" w:space="0" w:color="auto"/>
              <w:right w:val="nil"/>
            </w:tcBorders>
            <w:shd w:val="clear" w:color="auto" w:fill="auto"/>
            <w:noWrap/>
            <w:vAlign w:val="bottom"/>
          </w:tcPr>
          <w:p w14:paraId="5C54ED36" w14:textId="77777777" w:rsidR="008969AB" w:rsidRDefault="008969AB" w:rsidP="00201AB8">
            <w:pPr>
              <w:jc w:val="right"/>
              <w:rPr>
                <w:sz w:val="18"/>
                <w:szCs w:val="18"/>
              </w:rPr>
            </w:pPr>
            <w:r>
              <w:rPr>
                <w:sz w:val="18"/>
                <w:szCs w:val="18"/>
              </w:rPr>
              <w:t>2 020,5</w:t>
            </w:r>
          </w:p>
        </w:tc>
        <w:tc>
          <w:tcPr>
            <w:tcW w:w="1616" w:type="dxa"/>
            <w:tcBorders>
              <w:top w:val="nil"/>
              <w:left w:val="nil"/>
              <w:bottom w:val="single" w:sz="4" w:space="0" w:color="auto"/>
              <w:right w:val="nil"/>
            </w:tcBorders>
            <w:shd w:val="clear" w:color="auto" w:fill="auto"/>
            <w:noWrap/>
            <w:vAlign w:val="bottom"/>
          </w:tcPr>
          <w:p w14:paraId="411D07AF" w14:textId="77777777" w:rsidR="008969AB" w:rsidRDefault="008969AB" w:rsidP="00201AB8">
            <w:pPr>
              <w:jc w:val="right"/>
              <w:rPr>
                <w:sz w:val="18"/>
                <w:szCs w:val="18"/>
              </w:rPr>
            </w:pPr>
            <w:r>
              <w:rPr>
                <w:sz w:val="18"/>
                <w:szCs w:val="18"/>
              </w:rPr>
              <w:t>508,3</w:t>
            </w:r>
          </w:p>
        </w:tc>
        <w:tc>
          <w:tcPr>
            <w:tcW w:w="1304" w:type="dxa"/>
            <w:tcBorders>
              <w:top w:val="nil"/>
              <w:left w:val="nil"/>
              <w:bottom w:val="single" w:sz="4" w:space="0" w:color="auto"/>
              <w:right w:val="single" w:sz="8" w:space="0" w:color="auto"/>
            </w:tcBorders>
            <w:shd w:val="clear" w:color="auto" w:fill="auto"/>
            <w:noWrap/>
            <w:vAlign w:val="bottom"/>
          </w:tcPr>
          <w:p w14:paraId="11BCA0F7" w14:textId="77777777" w:rsidR="008969AB" w:rsidRDefault="008969AB" w:rsidP="00201AB8">
            <w:pPr>
              <w:jc w:val="right"/>
              <w:rPr>
                <w:sz w:val="18"/>
                <w:szCs w:val="18"/>
              </w:rPr>
            </w:pPr>
            <w:r>
              <w:rPr>
                <w:sz w:val="18"/>
                <w:szCs w:val="18"/>
              </w:rPr>
              <w:t>25,2%</w:t>
            </w:r>
          </w:p>
        </w:tc>
      </w:tr>
      <w:tr w:rsidR="008969AB" w:rsidRPr="00AB0993" w14:paraId="2254F9A2" w14:textId="77777777" w:rsidTr="00201AB8">
        <w:trPr>
          <w:trHeight w:val="50"/>
          <w:jc w:val="center"/>
        </w:trPr>
        <w:tc>
          <w:tcPr>
            <w:tcW w:w="48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514061" w14:textId="77777777" w:rsidR="008969AB" w:rsidRPr="00824461" w:rsidRDefault="008969AB" w:rsidP="00201AB8">
            <w:pPr>
              <w:rPr>
                <w:b/>
                <w:bCs/>
                <w:sz w:val="18"/>
                <w:szCs w:val="18"/>
              </w:rPr>
            </w:pPr>
            <w:r w:rsidRPr="00824461">
              <w:rPr>
                <w:b/>
                <w:bCs/>
                <w:sz w:val="18"/>
                <w:szCs w:val="18"/>
              </w:rPr>
              <w:t>Бюджетен баланс</w:t>
            </w:r>
          </w:p>
        </w:tc>
        <w:tc>
          <w:tcPr>
            <w:tcW w:w="1276" w:type="dxa"/>
            <w:tcBorders>
              <w:top w:val="nil"/>
              <w:left w:val="nil"/>
              <w:bottom w:val="single" w:sz="8" w:space="0" w:color="auto"/>
              <w:right w:val="nil"/>
            </w:tcBorders>
            <w:shd w:val="clear" w:color="auto" w:fill="auto"/>
            <w:noWrap/>
            <w:vAlign w:val="bottom"/>
          </w:tcPr>
          <w:p w14:paraId="041FCA92" w14:textId="77777777" w:rsidR="008969AB" w:rsidRDefault="008969AB" w:rsidP="00201AB8">
            <w:pPr>
              <w:jc w:val="right"/>
              <w:rPr>
                <w:b/>
                <w:bCs/>
                <w:sz w:val="18"/>
                <w:szCs w:val="18"/>
              </w:rPr>
            </w:pPr>
            <w:r>
              <w:rPr>
                <w:b/>
                <w:bCs/>
                <w:sz w:val="18"/>
                <w:szCs w:val="18"/>
              </w:rPr>
              <w:t>-7 132,6</w:t>
            </w:r>
          </w:p>
        </w:tc>
        <w:tc>
          <w:tcPr>
            <w:tcW w:w="1616" w:type="dxa"/>
            <w:tcBorders>
              <w:top w:val="nil"/>
              <w:left w:val="nil"/>
              <w:bottom w:val="single" w:sz="8" w:space="0" w:color="auto"/>
              <w:right w:val="nil"/>
            </w:tcBorders>
            <w:shd w:val="clear" w:color="auto" w:fill="auto"/>
            <w:noWrap/>
            <w:vAlign w:val="bottom"/>
          </w:tcPr>
          <w:p w14:paraId="52AAE3EF" w14:textId="77777777" w:rsidR="008969AB" w:rsidRDefault="008969AB" w:rsidP="00201AB8">
            <w:pPr>
              <w:jc w:val="right"/>
              <w:rPr>
                <w:b/>
                <w:bCs/>
                <w:sz w:val="18"/>
                <w:szCs w:val="18"/>
              </w:rPr>
            </w:pPr>
            <w:r>
              <w:rPr>
                <w:b/>
                <w:bCs/>
                <w:sz w:val="18"/>
                <w:szCs w:val="18"/>
              </w:rPr>
              <w:t>-2 665,2</w:t>
            </w:r>
          </w:p>
        </w:tc>
        <w:tc>
          <w:tcPr>
            <w:tcW w:w="1304" w:type="dxa"/>
            <w:tcBorders>
              <w:top w:val="nil"/>
              <w:left w:val="nil"/>
              <w:bottom w:val="single" w:sz="8" w:space="0" w:color="auto"/>
              <w:right w:val="single" w:sz="8" w:space="0" w:color="auto"/>
            </w:tcBorders>
            <w:shd w:val="clear" w:color="auto" w:fill="auto"/>
            <w:noWrap/>
            <w:vAlign w:val="bottom"/>
          </w:tcPr>
          <w:p w14:paraId="00F717B4" w14:textId="77777777" w:rsidR="008969AB" w:rsidRDefault="008969AB" w:rsidP="00201AB8">
            <w:pPr>
              <w:rPr>
                <w:b/>
                <w:bCs/>
                <w:sz w:val="18"/>
                <w:szCs w:val="18"/>
              </w:rPr>
            </w:pPr>
            <w:r>
              <w:rPr>
                <w:b/>
                <w:bCs/>
                <w:sz w:val="18"/>
                <w:szCs w:val="18"/>
              </w:rPr>
              <w:t> </w:t>
            </w:r>
          </w:p>
        </w:tc>
      </w:tr>
    </w:tbl>
    <w:p w14:paraId="30F979E5" w14:textId="77777777" w:rsidR="008969AB" w:rsidRPr="00AB0993" w:rsidRDefault="008969AB" w:rsidP="008969AB">
      <w:pPr>
        <w:ind w:right="-242"/>
        <w:rPr>
          <w:b/>
          <w:bCs/>
          <w:color w:val="0070C0"/>
          <w:sz w:val="6"/>
          <w:szCs w:val="6"/>
        </w:rPr>
      </w:pPr>
    </w:p>
    <w:p w14:paraId="6DC61474" w14:textId="77777777" w:rsidR="008969AB" w:rsidRPr="00AB0993" w:rsidRDefault="008969AB" w:rsidP="008969AB">
      <w:pPr>
        <w:pStyle w:val="BodyTextIndent"/>
        <w:ind w:left="360"/>
        <w:jc w:val="both"/>
        <w:rPr>
          <w:b/>
          <w:color w:val="0070C0"/>
          <w:sz w:val="12"/>
        </w:rPr>
      </w:pPr>
    </w:p>
    <w:p w14:paraId="630B888F" w14:textId="77777777" w:rsidR="008969AB" w:rsidRPr="00BA4845" w:rsidRDefault="008969AB" w:rsidP="008969AB">
      <w:pPr>
        <w:pStyle w:val="BodyTextIndent"/>
        <w:numPr>
          <w:ilvl w:val="0"/>
          <w:numId w:val="2"/>
        </w:numPr>
        <w:jc w:val="both"/>
        <w:rPr>
          <w:b/>
        </w:rPr>
      </w:pPr>
      <w:r w:rsidRPr="00BA4845">
        <w:rPr>
          <w:b/>
          <w:bCs/>
        </w:rPr>
        <w:t xml:space="preserve">Приходи по държавния бюджет </w:t>
      </w:r>
    </w:p>
    <w:p w14:paraId="4C82B316" w14:textId="77777777" w:rsidR="008969AB" w:rsidRPr="003612E1" w:rsidRDefault="008969AB" w:rsidP="008969AB">
      <w:pPr>
        <w:jc w:val="both"/>
        <w:rPr>
          <w:bCs/>
        </w:rPr>
      </w:pPr>
      <w:r w:rsidRPr="003612E1">
        <w:rPr>
          <w:bCs/>
        </w:rPr>
        <w:t>Общият размер на</w:t>
      </w:r>
      <w:r w:rsidRPr="003612E1">
        <w:rPr>
          <w:b/>
          <w:bCs/>
        </w:rPr>
        <w:t xml:space="preserve"> приходите, помощите и даренията по държавния бюджет</w:t>
      </w:r>
      <w:r w:rsidRPr="003612E1">
        <w:rPr>
          <w:bCs/>
        </w:rPr>
        <w:t xml:space="preserve"> към март 202</w:t>
      </w:r>
      <w:r w:rsidRPr="003612E1">
        <w:rPr>
          <w:bCs/>
          <w:lang w:val="ru-RU"/>
        </w:rPr>
        <w:t>5</w:t>
      </w:r>
      <w:r w:rsidRPr="003612E1">
        <w:rPr>
          <w:bCs/>
        </w:rPr>
        <w:t> г. е</w:t>
      </w:r>
      <w:r w:rsidRPr="003612E1">
        <w:rPr>
          <w:b/>
          <w:bCs/>
        </w:rPr>
        <w:t xml:space="preserve">  </w:t>
      </w:r>
      <w:r w:rsidRPr="003612E1">
        <w:rPr>
          <w:b/>
          <w:bCs/>
          <w:lang w:val="ru-RU"/>
        </w:rPr>
        <w:t>9 694,0</w:t>
      </w:r>
      <w:r w:rsidRPr="003612E1">
        <w:rPr>
          <w:b/>
          <w:bCs/>
        </w:rPr>
        <w:t xml:space="preserve"> млн. лв.</w:t>
      </w:r>
      <w:r w:rsidRPr="003612E1">
        <w:rPr>
          <w:bCs/>
        </w:rPr>
        <w:t>, което представлява 17,6 % изпълнение на разчетите по ЗДБРБ за 2025 г. и ръст от 1 294,3 млн. лв. (15,4 %) спрямо отчетените за същия период на предходната година.</w:t>
      </w:r>
    </w:p>
    <w:p w14:paraId="4D1D245D" w14:textId="77777777" w:rsidR="008969AB" w:rsidRPr="008364A1" w:rsidRDefault="008969AB" w:rsidP="002F2D6B">
      <w:pPr>
        <w:numPr>
          <w:ilvl w:val="0"/>
          <w:numId w:val="3"/>
        </w:numPr>
        <w:tabs>
          <w:tab w:val="num" w:pos="720"/>
        </w:tabs>
        <w:spacing w:before="120"/>
        <w:ind w:left="0" w:firstLine="181"/>
        <w:jc w:val="both"/>
        <w:rPr>
          <w:b/>
          <w:bCs/>
        </w:rPr>
      </w:pPr>
      <w:r w:rsidRPr="008364A1">
        <w:rPr>
          <w:bCs/>
        </w:rPr>
        <w:t xml:space="preserve"> </w:t>
      </w:r>
      <w:r w:rsidRPr="008364A1">
        <w:rPr>
          <w:b/>
          <w:bCs/>
        </w:rPr>
        <w:t>Данъчни приходи</w:t>
      </w:r>
    </w:p>
    <w:p w14:paraId="7208E7A9" w14:textId="77777777" w:rsidR="008969AB" w:rsidRPr="00AB0993" w:rsidRDefault="008969AB" w:rsidP="008969AB">
      <w:pPr>
        <w:jc w:val="both"/>
        <w:rPr>
          <w:bCs/>
          <w:color w:val="0070C0"/>
          <w:sz w:val="4"/>
          <w:szCs w:val="4"/>
        </w:rPr>
      </w:pPr>
    </w:p>
    <w:p w14:paraId="5AAC4377" w14:textId="77777777" w:rsidR="008969AB" w:rsidRPr="00DD66B3" w:rsidRDefault="008969AB" w:rsidP="008969AB">
      <w:pPr>
        <w:jc w:val="both"/>
        <w:rPr>
          <w:sz w:val="10"/>
        </w:rPr>
      </w:pPr>
      <w:r w:rsidRPr="00DD66B3">
        <w:rPr>
          <w:bCs/>
        </w:rPr>
        <w:t>Размерът на</w:t>
      </w:r>
      <w:r w:rsidRPr="00DD66B3">
        <w:rPr>
          <w:b/>
          <w:bCs/>
        </w:rPr>
        <w:t xml:space="preserve"> данъчните постъпления по държавния бюджет</w:t>
      </w:r>
      <w:r w:rsidRPr="00DD66B3">
        <w:rPr>
          <w:bCs/>
        </w:rPr>
        <w:t xml:space="preserve"> към март 2025 г. </w:t>
      </w:r>
      <w:r w:rsidRPr="00DD66B3">
        <w:t xml:space="preserve">е </w:t>
      </w:r>
      <w:r w:rsidRPr="00DD66B3">
        <w:rPr>
          <w:b/>
          <w:lang w:val="ru-RU"/>
        </w:rPr>
        <w:t>8 247,7</w:t>
      </w:r>
      <w:r w:rsidRPr="00DD66B3">
        <w:rPr>
          <w:b/>
        </w:rPr>
        <w:t> млн.</w:t>
      </w:r>
      <w:r w:rsidRPr="00DD66B3">
        <w:rPr>
          <w:b/>
          <w:lang w:val="en-US"/>
        </w:rPr>
        <w:t> </w:t>
      </w:r>
      <w:r w:rsidRPr="00DD66B3">
        <w:rPr>
          <w:b/>
        </w:rPr>
        <w:t>лв</w:t>
      </w:r>
      <w:r w:rsidRPr="00DD66B3">
        <w:t xml:space="preserve">., което представлява </w:t>
      </w:r>
      <w:r>
        <w:t>17</w:t>
      </w:r>
      <w:r w:rsidRPr="00DD66B3">
        <w:t>,1 % изпълнение на годишните разчети. Сравнени с данните към март 2024 г. данъчните приходи нарастват с 1 009,6 млн. лв. или 13,9 на сто.</w:t>
      </w:r>
    </w:p>
    <w:p w14:paraId="1DA51CDA" w14:textId="77777777" w:rsidR="008969AB" w:rsidRPr="00CD7061" w:rsidRDefault="008969AB" w:rsidP="008969AB">
      <w:pPr>
        <w:numPr>
          <w:ilvl w:val="0"/>
          <w:numId w:val="4"/>
        </w:numPr>
        <w:tabs>
          <w:tab w:val="clear" w:pos="1440"/>
          <w:tab w:val="num" w:pos="540"/>
        </w:tabs>
        <w:spacing w:before="120" w:after="120"/>
        <w:ind w:left="0" w:firstLine="181"/>
        <w:jc w:val="both"/>
        <w:rPr>
          <w:b/>
          <w:bCs/>
        </w:rPr>
      </w:pPr>
      <w:r w:rsidRPr="00CD7061">
        <w:rPr>
          <w:b/>
          <w:bCs/>
        </w:rPr>
        <w:t>Преки данъци</w:t>
      </w:r>
    </w:p>
    <w:p w14:paraId="62508AE5" w14:textId="77777777" w:rsidR="008969AB" w:rsidRPr="008F2DA6" w:rsidRDefault="008969AB" w:rsidP="008969AB">
      <w:pPr>
        <w:spacing w:before="120"/>
        <w:jc w:val="both"/>
        <w:rPr>
          <w:lang w:val="ru-RU"/>
        </w:rPr>
      </w:pPr>
      <w:r w:rsidRPr="005756AB">
        <w:t>Приходите в групата на</w:t>
      </w:r>
      <w:r w:rsidRPr="005756AB">
        <w:rPr>
          <w:b/>
        </w:rPr>
        <w:t xml:space="preserve"> преките данъци</w:t>
      </w:r>
      <w:r w:rsidRPr="005756AB">
        <w:t xml:space="preserve"> са в размер на</w:t>
      </w:r>
      <w:r w:rsidRPr="005756AB">
        <w:rPr>
          <w:b/>
        </w:rPr>
        <w:t> 1 843,0 млн. лв</w:t>
      </w:r>
      <w:r w:rsidRPr="005756AB">
        <w:t>. или 12,6 % от планираните за годината, като съпоставени със същия период на предходната година постъпленията нарастват с 271,3 млн. лв. (</w:t>
      </w:r>
      <w:r>
        <w:t>17,3</w:t>
      </w:r>
      <w:r w:rsidRPr="005756AB">
        <w:t xml:space="preserve"> %). </w:t>
      </w:r>
      <w:r w:rsidRPr="008F2DA6">
        <w:t xml:space="preserve">Повишението се дължи основно на по-високите приходи от данъците върху доходите на физическите лица, които нарастват с </w:t>
      </w:r>
      <w:r>
        <w:t>18,3</w:t>
      </w:r>
      <w:r w:rsidRPr="008F2DA6">
        <w:t> % в сравнение с края на март 2024 година.</w:t>
      </w:r>
    </w:p>
    <w:p w14:paraId="46ED59C5" w14:textId="77777777" w:rsidR="008969AB" w:rsidRPr="00EB35DB" w:rsidRDefault="008969AB" w:rsidP="008969AB">
      <w:pPr>
        <w:spacing w:before="120"/>
        <w:jc w:val="both"/>
      </w:pPr>
      <w:r w:rsidRPr="003F0285">
        <w:t>Приходите от</w:t>
      </w:r>
      <w:r w:rsidRPr="003F0285">
        <w:rPr>
          <w:b/>
        </w:rPr>
        <w:t xml:space="preserve"> </w:t>
      </w:r>
      <w:r w:rsidRPr="003F0285">
        <w:rPr>
          <w:b/>
          <w:bCs/>
          <w:i/>
        </w:rPr>
        <w:t>корпоративни данъци</w:t>
      </w:r>
      <w:r w:rsidRPr="003F0285">
        <w:t xml:space="preserve"> </w:t>
      </w:r>
      <w:r w:rsidRPr="003F0285">
        <w:rPr>
          <w:bCs/>
        </w:rPr>
        <w:t>към март 2025 г.</w:t>
      </w:r>
      <w:r w:rsidRPr="003F0285">
        <w:t xml:space="preserve"> са в размер на 181,7 млн. лв. Сравнени </w:t>
      </w:r>
      <w:r w:rsidRPr="00EB35DB">
        <w:t xml:space="preserve">с данните към месец март на предходната година постъпленията са с 14,0 млн. лв. повече. </w:t>
      </w:r>
    </w:p>
    <w:p w14:paraId="1A99A798" w14:textId="77777777" w:rsidR="008969AB" w:rsidRPr="00EB35DB" w:rsidRDefault="008969AB" w:rsidP="008969AB">
      <w:pPr>
        <w:spacing w:before="120"/>
        <w:jc w:val="both"/>
      </w:pPr>
      <w:r w:rsidRPr="00EB35DB">
        <w:t>Постъпленията от</w:t>
      </w:r>
      <w:r w:rsidRPr="00EB35DB">
        <w:rPr>
          <w:b/>
          <w:i/>
        </w:rPr>
        <w:t xml:space="preserve"> корпоративен данък</w:t>
      </w:r>
      <w:r w:rsidRPr="00EB35DB">
        <w:t xml:space="preserve"> през 2025 г. са в пряка зависимост от следните показатели:</w:t>
      </w:r>
    </w:p>
    <w:p w14:paraId="13BF4192" w14:textId="77777777" w:rsidR="008969AB" w:rsidRPr="00EB35DB" w:rsidRDefault="008969AB" w:rsidP="008969AB">
      <w:pPr>
        <w:numPr>
          <w:ilvl w:val="0"/>
          <w:numId w:val="42"/>
        </w:numPr>
        <w:tabs>
          <w:tab w:val="left" w:pos="709"/>
        </w:tabs>
        <w:ind w:left="0" w:firstLine="426"/>
        <w:jc w:val="both"/>
      </w:pPr>
      <w:r w:rsidRPr="00EB35DB">
        <w:t>декларирана данъчна печалба по подадените ГДД за 2024 г.;</w:t>
      </w:r>
    </w:p>
    <w:p w14:paraId="2B433F3A" w14:textId="77777777" w:rsidR="008969AB" w:rsidRPr="00EB35DB" w:rsidRDefault="008969AB" w:rsidP="008969AB">
      <w:pPr>
        <w:numPr>
          <w:ilvl w:val="0"/>
          <w:numId w:val="42"/>
        </w:numPr>
        <w:tabs>
          <w:tab w:val="left" w:pos="709"/>
        </w:tabs>
        <w:ind w:left="0" w:firstLine="426"/>
        <w:jc w:val="both"/>
      </w:pPr>
      <w:r w:rsidRPr="00EB35DB">
        <w:t>декларирана данъчна загуба за 2024 г.;</w:t>
      </w:r>
    </w:p>
    <w:p w14:paraId="4DDD6EF5" w14:textId="77777777" w:rsidR="008969AB" w:rsidRPr="00EB35DB" w:rsidRDefault="008969AB" w:rsidP="008969AB">
      <w:pPr>
        <w:numPr>
          <w:ilvl w:val="0"/>
          <w:numId w:val="42"/>
        </w:numPr>
        <w:tabs>
          <w:tab w:val="left" w:pos="709"/>
        </w:tabs>
        <w:ind w:left="0" w:firstLine="426"/>
        <w:jc w:val="both"/>
      </w:pPr>
      <w:r w:rsidRPr="00EB35DB">
        <w:t>общ размер на авансовите вноски, които данъчно задължените лица правят въз основа на прогнозната данъчна печалба за текущата година;</w:t>
      </w:r>
    </w:p>
    <w:p w14:paraId="42F69382" w14:textId="77777777" w:rsidR="008969AB" w:rsidRPr="00EB35DB" w:rsidRDefault="008969AB" w:rsidP="008969AB">
      <w:pPr>
        <w:numPr>
          <w:ilvl w:val="0"/>
          <w:numId w:val="42"/>
        </w:numPr>
        <w:tabs>
          <w:tab w:val="left" w:pos="709"/>
        </w:tabs>
        <w:ind w:left="0" w:firstLine="426"/>
        <w:jc w:val="both"/>
      </w:pPr>
      <w:r w:rsidRPr="00EB35DB">
        <w:rPr>
          <w:szCs w:val="16"/>
        </w:rPr>
        <w:t>общ размер на разликата за внасяне по ГДД за 2024 г</w:t>
      </w:r>
      <w:r w:rsidRPr="00EB35DB">
        <w:t>.;</w:t>
      </w:r>
    </w:p>
    <w:p w14:paraId="0885A84A" w14:textId="77777777" w:rsidR="008969AB" w:rsidRPr="00EB35DB" w:rsidRDefault="008969AB" w:rsidP="008969AB">
      <w:pPr>
        <w:numPr>
          <w:ilvl w:val="0"/>
          <w:numId w:val="42"/>
        </w:numPr>
        <w:tabs>
          <w:tab w:val="left" w:pos="709"/>
        </w:tabs>
        <w:ind w:left="0" w:firstLine="426"/>
        <w:jc w:val="both"/>
      </w:pPr>
      <w:r w:rsidRPr="00EB35DB">
        <w:t>начислените по ревизионни актове суми за корпоративен данък;</w:t>
      </w:r>
    </w:p>
    <w:p w14:paraId="0A95CBFE" w14:textId="77777777" w:rsidR="008969AB" w:rsidRPr="00EB35DB" w:rsidRDefault="008969AB" w:rsidP="008969AB">
      <w:pPr>
        <w:numPr>
          <w:ilvl w:val="0"/>
          <w:numId w:val="42"/>
        </w:numPr>
        <w:tabs>
          <w:tab w:val="left" w:pos="709"/>
        </w:tabs>
        <w:ind w:left="0" w:firstLine="426"/>
        <w:jc w:val="both"/>
      </w:pPr>
      <w:r w:rsidRPr="00EB35DB">
        <w:t>относителния дял на постигнатата събираемост при корпоративния данък.</w:t>
      </w:r>
    </w:p>
    <w:p w14:paraId="2FBF9016" w14:textId="77777777" w:rsidR="008969AB" w:rsidRPr="000336E6" w:rsidRDefault="008969AB" w:rsidP="008969AB">
      <w:pPr>
        <w:spacing w:before="120"/>
        <w:jc w:val="both"/>
      </w:pPr>
      <w:r w:rsidRPr="00ED36EE">
        <w:t>Върху размера на приходите от корпоративен данък влияние оказват и прилагането на преференцията за пренасяне на данъчни загуби, както и на възможността за допълнителна еднократна корекция на годишната данъчна декларация при откриване на счетоводни или други грешки и при отразяване на коригиращи събития по смисъла на приложимите счетоводни стандарти в срок до 30 септември на текущата година.</w:t>
      </w:r>
    </w:p>
    <w:p w14:paraId="63077A66" w14:textId="77777777" w:rsidR="008969AB" w:rsidRPr="00AB0993" w:rsidRDefault="008969AB" w:rsidP="008969AB">
      <w:pPr>
        <w:spacing w:before="120"/>
        <w:jc w:val="both"/>
        <w:rPr>
          <w:color w:val="0070C0"/>
        </w:rPr>
      </w:pPr>
      <w:r w:rsidRPr="00583A20">
        <w:t xml:space="preserve">В тази група данъци са и приходите от данък върху дивидентите, ликвидационните дялове и доходите на местни и чуждестранни юридически лица, които са в размер на 38,2 млн. лв., като съпоставено със същия период на предходната година приходите намаляват с 8,3 млн. </w:t>
      </w:r>
      <w:r w:rsidRPr="00166F89">
        <w:t>лв. Постъпленията от данъци върху дивидентите, ликвидационните дялове и доходите на юридически лица зависят от състоянието на икономиката и осъществяващите се процеси по разпределение на фирмена собственост в страната.</w:t>
      </w:r>
    </w:p>
    <w:p w14:paraId="30EF962A" w14:textId="77777777" w:rsidR="008969AB" w:rsidRPr="00AB0993" w:rsidRDefault="008969AB" w:rsidP="008969AB">
      <w:pPr>
        <w:spacing w:before="120" w:after="120"/>
        <w:jc w:val="both"/>
        <w:rPr>
          <w:color w:val="0070C0"/>
          <w:lang w:val="ru-RU"/>
        </w:rPr>
      </w:pPr>
      <w:r w:rsidRPr="00227A8D">
        <w:t>Приходите от</w:t>
      </w:r>
      <w:r w:rsidRPr="00227A8D">
        <w:rPr>
          <w:b/>
        </w:rPr>
        <w:t xml:space="preserve"> данъци върху доходите на физически лица </w:t>
      </w:r>
      <w:r w:rsidRPr="00227A8D">
        <w:t xml:space="preserve">са в размер на </w:t>
      </w:r>
      <w:r w:rsidRPr="00227A8D">
        <w:rPr>
          <w:b/>
        </w:rPr>
        <w:t>1 </w:t>
      </w:r>
      <w:r w:rsidRPr="00227A8D">
        <w:rPr>
          <w:b/>
          <w:lang w:val="ru-RU"/>
        </w:rPr>
        <w:t xml:space="preserve">661,2 </w:t>
      </w:r>
      <w:r w:rsidRPr="00227A8D">
        <w:rPr>
          <w:b/>
        </w:rPr>
        <w:t xml:space="preserve">млн. лв. </w:t>
      </w:r>
      <w:r w:rsidRPr="00227A8D">
        <w:t>или 20,8 % от заложените в разчета за годината. Тези приходи са с 257,3 млн. лв. повече или 18,3 % ръст спрямо същия период на предходната година.</w:t>
      </w:r>
      <w:r w:rsidRPr="00227A8D">
        <w:rPr>
          <w:lang w:val="ru-RU"/>
        </w:rPr>
        <w:t xml:space="preserve"> </w:t>
      </w:r>
    </w:p>
    <w:p w14:paraId="72608D71" w14:textId="77777777" w:rsidR="008969AB" w:rsidRPr="001B40AE" w:rsidRDefault="008969AB" w:rsidP="008969AB">
      <w:pPr>
        <w:spacing w:after="120"/>
        <w:jc w:val="both"/>
      </w:pPr>
      <w:r w:rsidRPr="004C6877">
        <w:t>Основен фактор за размера на данъчните постъпления от ДДФЛ е развитието на  параметрите на пазара на труда. Нарастването на заетостта, спад на безработицата и ръст на заплащането на труда са предпоставки за по-високи приходи от този вид данъци. Влияние върху размера</w:t>
      </w:r>
      <w:r w:rsidRPr="001B03E3">
        <w:t xml:space="preserve"> на постъпленията от ДДФЛ оказват действащите законодателни и административни мерки в областта на трудовото, социалното и данъчното законодателство. За повишаване на тази група данъчни приходи допринасят и предприетите мерки за намаляване на недекларирания труд, мерките за повишаване на събираемостта на задължения за минали периоди и тематичните кампании за контрол, провеждани от НАП.</w:t>
      </w:r>
    </w:p>
    <w:p w14:paraId="7D1F0D20" w14:textId="77777777" w:rsidR="008969AB" w:rsidRPr="00D6604C" w:rsidRDefault="008969AB" w:rsidP="008969AB">
      <w:pPr>
        <w:jc w:val="both"/>
        <w:rPr>
          <w:bCs/>
          <w:color w:val="0070C0"/>
        </w:rPr>
      </w:pPr>
      <w:r w:rsidRPr="0066291C">
        <w:rPr>
          <w:i/>
        </w:rPr>
        <w:t>По трудови правоотношения</w:t>
      </w:r>
      <w:r w:rsidRPr="0066291C">
        <w:t xml:space="preserve"> приходите от данъка </w:t>
      </w:r>
      <w:r w:rsidRPr="0066291C">
        <w:rPr>
          <w:bCs/>
        </w:rPr>
        <w:t>към март 202</w:t>
      </w:r>
      <w:r w:rsidRPr="0066291C">
        <w:rPr>
          <w:bCs/>
          <w:lang w:val="ru-RU"/>
        </w:rPr>
        <w:t>5</w:t>
      </w:r>
      <w:r w:rsidRPr="0066291C">
        <w:rPr>
          <w:bCs/>
        </w:rPr>
        <w:t xml:space="preserve"> г.</w:t>
      </w:r>
      <w:r w:rsidRPr="0066291C">
        <w:t xml:space="preserve"> са 1 417,8 млн. лв., 20,8 % от годишните разчети. Тези приходи нарастват с 233,4 млн. лв. (19,7 %) в сравнение със същия период на предходната година</w:t>
      </w:r>
      <w:r w:rsidRPr="0066291C">
        <w:rPr>
          <w:bCs/>
        </w:rPr>
        <w:t>.</w:t>
      </w:r>
    </w:p>
    <w:p w14:paraId="2B47862D" w14:textId="77777777" w:rsidR="008969AB" w:rsidRPr="001B3766" w:rsidRDefault="008969AB" w:rsidP="008969AB">
      <w:pPr>
        <w:spacing w:before="120"/>
        <w:jc w:val="both"/>
      </w:pPr>
      <w:r w:rsidRPr="001B3766">
        <w:t>Фактор за нарастване на приходите от ДДФЛ е отчетения висок номинален ръст на средната работна заплата през 2024 г., както в частния сектор, така и в обществения сектор, в т. ч. увеличението на заплатите в сферата на образованието и на разходите за персонал в бюджетните организации. При тази група данъчни приходи през 2025 г. влияние оказва увеличението от 1 януари 2025 г. (съгласно постановения механизъм в чл. 244, ал. 2 от Кодекса на труда) на минималната работна заплата за страната от 933 лв. на 1 077 лв. или с 15,4 %.</w:t>
      </w:r>
    </w:p>
    <w:p w14:paraId="71F3486F" w14:textId="77777777" w:rsidR="008969AB" w:rsidRPr="00244843" w:rsidRDefault="008969AB" w:rsidP="008969AB">
      <w:pPr>
        <w:spacing w:before="120"/>
        <w:jc w:val="both"/>
      </w:pPr>
      <w:r w:rsidRPr="00FE5CCD">
        <w:t>Влияние върху приходите от трудови правоотношения в посока намаление в началото на годината оказва ползването на облекченията за деца по чл. 22в и чл. 22г от ЗДДФЛ чрез подаване на декларация по образец при работодателя през месец декември. Очаква се ползването на облекченията за деца по чл. 22в и чл. 22г от ЗДДФЛ чрез подаване на годишната данъчна декларация за доходите, придобити през 2024 г., както и авансовото ползване на облекченията при работодател за придобитите доходи през 2025 година да окаже въздействие и през следващите отчетни периоди.</w:t>
      </w:r>
    </w:p>
    <w:p w14:paraId="1D2EAD3B" w14:textId="77777777" w:rsidR="008969AB" w:rsidRPr="008605D1" w:rsidRDefault="008969AB" w:rsidP="008969AB">
      <w:pPr>
        <w:tabs>
          <w:tab w:val="left" w:pos="0"/>
        </w:tabs>
        <w:jc w:val="both"/>
      </w:pPr>
      <w:r w:rsidRPr="00596AC6">
        <w:rPr>
          <w:i/>
        </w:rPr>
        <w:t>По извънтрудови правоотношения (свободни професии, граждански договори, еднолични търговци и др.)</w:t>
      </w:r>
      <w:r w:rsidRPr="00596AC6">
        <w:t xml:space="preserve"> приходите от данъка </w:t>
      </w:r>
      <w:r w:rsidRPr="00596AC6">
        <w:rPr>
          <w:bCs/>
        </w:rPr>
        <w:t>към март 2025 г.</w:t>
      </w:r>
      <w:r w:rsidRPr="00596AC6">
        <w:t xml:space="preserve"> са в размер на 83,8 млн. лв. </w:t>
      </w:r>
      <w:r w:rsidRPr="00596AC6">
        <w:rPr>
          <w:lang w:val="en-US"/>
        </w:rPr>
        <w:t>(</w:t>
      </w:r>
      <w:r w:rsidRPr="00596AC6">
        <w:t>17,0 % от годишния разчет</w:t>
      </w:r>
      <w:r w:rsidRPr="00596AC6">
        <w:rPr>
          <w:lang w:val="en-US"/>
        </w:rPr>
        <w:t>)</w:t>
      </w:r>
      <w:r>
        <w:t xml:space="preserve">. </w:t>
      </w:r>
      <w:r w:rsidRPr="00F6643D">
        <w:rPr>
          <w:lang w:val="ru-RU"/>
        </w:rPr>
        <w:t>За отчетния период са постъпили с 15,1 млн. лв. повече приходи или 21,9 % ръст спрямо края на март 2024 година</w:t>
      </w:r>
      <w:r w:rsidRPr="00F6643D">
        <w:t xml:space="preserve">. </w:t>
      </w:r>
      <w:r w:rsidRPr="0099637D">
        <w:t>Основно влияние върху тези приходи оказват резултатите от годишните данъчни декларации по чл. 50 от ЗДДФЛ (дължим данък за довнасяне или надвнесен данък) и дължимите авансови вноски, както и плащанията за минали години и размера на възстановения и прихванат данък.</w:t>
      </w:r>
      <w:r>
        <w:t xml:space="preserve"> Възстановяването на суми при ползването на данъчното облекчение за деца по чл. 22в и по чл. 22г от ЗДДФЛ </w:t>
      </w:r>
      <w:r w:rsidRPr="004E52C9">
        <w:t>с подаването на годишните декларации</w:t>
      </w:r>
      <w:r>
        <w:t xml:space="preserve"> води до намаление на постъпленията в тази група данъци.</w:t>
      </w:r>
    </w:p>
    <w:p w14:paraId="22B88149" w14:textId="77777777" w:rsidR="008969AB" w:rsidRPr="00AB0993" w:rsidRDefault="008969AB" w:rsidP="008969AB">
      <w:pPr>
        <w:spacing w:before="120" w:after="120"/>
        <w:jc w:val="both"/>
        <w:rPr>
          <w:color w:val="0070C0"/>
        </w:rPr>
      </w:pPr>
      <w:r w:rsidRPr="00B92898">
        <w:rPr>
          <w:i/>
        </w:rPr>
        <w:t xml:space="preserve">Окончателен данък на местните и чуждестранни физически лица по чл. 37 и 38 от ЗДДФЛ </w:t>
      </w:r>
      <w:r w:rsidRPr="00B92898">
        <w:t xml:space="preserve">и </w:t>
      </w:r>
      <w:r w:rsidRPr="00B92898">
        <w:rPr>
          <w:i/>
        </w:rPr>
        <w:t>данък върху дивидентите и ликвидационните дялове на физически лица</w:t>
      </w:r>
      <w:r w:rsidRPr="00B92898">
        <w:t xml:space="preserve"> - постъпленията от тези данъци са в размер на 159,7 млн. лв. или 24,5 % от плана за 2025 година. За отчетния </w:t>
      </w:r>
      <w:r w:rsidRPr="00B509E7">
        <w:t>период са постъпили с 8,8 млн. лв. (5,9 %) повече приходи спрямо същия период на предходната година. Ръстът на тази група данъци се дължи, както на отчетените финансови резултати от нефинансовите предприятия през 2024 г., така и от предприетите законодателни и контролни мерки. Влияние върху изпълнението на приходите от данък върху дивидентите и ликвидационните дялове на местни и чуждестранни физически и юридически лица имат предприетите контролни действия от НАП за проверка на касови наличности. Контролните действия са насочени приоритетно към лица, за които има информация за висока касова наличност (над 100 хил. лв.), и при които има риск от наличие на сделки, сключени при условия, водещи до отклонение от данъчно облагане, наличието на скрито разпределение на печалбата по смисъла на § 1, т. 5 от ДР на ЗКПО. Скритото разпределение на печалбата се третира като дивидент, за който се внася 5 % данък върху разпределените суми. Постъпленията от данъка върху дивидентите нарастват допълнително в резултат на действащата разпоредба от Закона за ограничаване на плащанията в брой (чл. 3, ал. 4, т. 3), плащанията на територията на страната на дивиденти, със стойност равна на или надвишаваща 1 000 лв., да се извършват само чрез превод или внасяне по платежна сметка</w:t>
      </w:r>
      <w:r w:rsidRPr="00AB0993">
        <w:rPr>
          <w:color w:val="0070C0"/>
        </w:rPr>
        <w:t>.</w:t>
      </w:r>
    </w:p>
    <w:p w14:paraId="1B4480A0" w14:textId="77777777" w:rsidR="008969AB" w:rsidRPr="00CB3EDE" w:rsidRDefault="008969AB" w:rsidP="008969AB">
      <w:pPr>
        <w:numPr>
          <w:ilvl w:val="0"/>
          <w:numId w:val="4"/>
        </w:numPr>
        <w:tabs>
          <w:tab w:val="clear" w:pos="1440"/>
          <w:tab w:val="num" w:pos="540"/>
        </w:tabs>
        <w:ind w:left="0" w:firstLine="180"/>
        <w:jc w:val="both"/>
        <w:rPr>
          <w:b/>
          <w:bCs/>
        </w:rPr>
      </w:pPr>
      <w:r w:rsidRPr="00CB3EDE">
        <w:rPr>
          <w:b/>
          <w:bCs/>
        </w:rPr>
        <w:t>Косвени данъци</w:t>
      </w:r>
    </w:p>
    <w:p w14:paraId="2E0728F5" w14:textId="77777777" w:rsidR="008969AB" w:rsidRPr="00AB0993" w:rsidRDefault="008969AB" w:rsidP="008969AB">
      <w:pPr>
        <w:jc w:val="both"/>
        <w:rPr>
          <w:b/>
          <w:bCs/>
          <w:color w:val="0070C0"/>
          <w:sz w:val="4"/>
          <w:szCs w:val="4"/>
        </w:rPr>
      </w:pPr>
    </w:p>
    <w:p w14:paraId="63BB06A2" w14:textId="77777777" w:rsidR="008969AB" w:rsidRPr="00AB0993" w:rsidRDefault="008969AB" w:rsidP="008969AB">
      <w:pPr>
        <w:spacing w:after="120"/>
        <w:jc w:val="both"/>
        <w:rPr>
          <w:color w:val="0070C0"/>
        </w:rPr>
      </w:pPr>
      <w:r w:rsidRPr="00CB3EDE">
        <w:t xml:space="preserve">Приходите от </w:t>
      </w:r>
      <w:r w:rsidRPr="00CB3EDE">
        <w:rPr>
          <w:b/>
        </w:rPr>
        <w:t>косвени данъци</w:t>
      </w:r>
      <w:r w:rsidRPr="00CB3EDE">
        <w:t xml:space="preserve"> </w:t>
      </w:r>
      <w:r w:rsidRPr="00CB3EDE">
        <w:rPr>
          <w:bCs/>
        </w:rPr>
        <w:t>към март 202</w:t>
      </w:r>
      <w:r w:rsidRPr="00CB3EDE">
        <w:rPr>
          <w:bCs/>
          <w:lang w:val="ru-RU"/>
        </w:rPr>
        <w:t>5</w:t>
      </w:r>
      <w:r w:rsidRPr="00CB3EDE">
        <w:rPr>
          <w:bCs/>
        </w:rPr>
        <w:t xml:space="preserve"> г.</w:t>
      </w:r>
      <w:r w:rsidRPr="00CB3EDE">
        <w:t xml:space="preserve"> са в размер на</w:t>
      </w:r>
      <w:r w:rsidRPr="00CB3EDE">
        <w:rPr>
          <w:b/>
        </w:rPr>
        <w:t xml:space="preserve"> 6 366,7 млн. лв</w:t>
      </w:r>
      <w:r w:rsidRPr="00CB3EDE">
        <w:t xml:space="preserve">. или 19,3 % от годишния разчет. Сравнени с данните за същия период на предходната година постъпленията </w:t>
      </w:r>
      <w:r w:rsidRPr="00A45419">
        <w:rPr>
          <w:bCs/>
        </w:rPr>
        <w:t>нарастват</w:t>
      </w:r>
      <w:r w:rsidRPr="00A45419">
        <w:t xml:space="preserve"> със 729,2 млн. лв. </w:t>
      </w:r>
      <w:r w:rsidRPr="00A45419">
        <w:rPr>
          <w:lang w:val="ru-RU"/>
        </w:rPr>
        <w:t>(</w:t>
      </w:r>
      <w:r w:rsidRPr="00A45419">
        <w:t>12,9 %</w:t>
      </w:r>
      <w:r w:rsidRPr="00A45419">
        <w:rPr>
          <w:lang w:val="ru-RU"/>
        </w:rPr>
        <w:t>). Това нарастване се дължи основно на по-големите приходите от ДДС</w:t>
      </w:r>
      <w:r w:rsidRPr="00A45419">
        <w:t xml:space="preserve">. </w:t>
      </w:r>
    </w:p>
    <w:p w14:paraId="18FA6792" w14:textId="77777777" w:rsidR="008969AB" w:rsidRPr="00AB0993" w:rsidRDefault="008969AB" w:rsidP="008969AB">
      <w:pPr>
        <w:spacing w:after="120"/>
        <w:jc w:val="both"/>
        <w:rPr>
          <w:color w:val="0070C0"/>
        </w:rPr>
      </w:pPr>
      <w:r w:rsidRPr="00412C60">
        <w:rPr>
          <w:b/>
        </w:rPr>
        <w:t>Приходите от ДДС</w:t>
      </w:r>
      <w:r w:rsidRPr="00412C60">
        <w:t xml:space="preserve"> са в размер на </w:t>
      </w:r>
      <w:r w:rsidRPr="00412C60">
        <w:rPr>
          <w:b/>
        </w:rPr>
        <w:t>4 743,4</w:t>
      </w:r>
      <w:r w:rsidRPr="00412C60">
        <w:t xml:space="preserve"> </w:t>
      </w:r>
      <w:r w:rsidRPr="00412C60">
        <w:rPr>
          <w:b/>
        </w:rPr>
        <w:t xml:space="preserve">млн. лв., </w:t>
      </w:r>
      <w:r w:rsidRPr="00412C60">
        <w:t xml:space="preserve">което представлява 19,1 % от планираните със ЗДБРБ за 2025 година. Съпоставени с края на март 2024 г., приходите от </w:t>
      </w:r>
      <w:r w:rsidRPr="00070176">
        <w:t xml:space="preserve">ДДС нарастват със 740,7 млн. лв. </w:t>
      </w:r>
      <w:r w:rsidRPr="00070176">
        <w:rPr>
          <w:lang w:val="ru-RU"/>
        </w:rPr>
        <w:t>(</w:t>
      </w:r>
      <w:r w:rsidRPr="00070176">
        <w:t>18,5 на сто</w:t>
      </w:r>
      <w:r w:rsidRPr="00070176">
        <w:rPr>
          <w:lang w:val="en-US"/>
        </w:rPr>
        <w:t>)</w:t>
      </w:r>
      <w:r w:rsidRPr="00070176">
        <w:t xml:space="preserve">, в резултат както на по-високите приходи от ДДС от сделки в страната и вътреобщностни придобивания </w:t>
      </w:r>
      <w:r w:rsidRPr="00070176">
        <w:rPr>
          <w:lang w:val="ru-RU"/>
        </w:rPr>
        <w:t>(</w:t>
      </w:r>
      <w:r w:rsidRPr="00070176">
        <w:t>ВОП</w:t>
      </w:r>
      <w:r w:rsidRPr="00070176">
        <w:rPr>
          <w:lang w:val="ru-RU"/>
        </w:rPr>
        <w:t xml:space="preserve">), </w:t>
      </w:r>
      <w:r w:rsidRPr="0007022C">
        <w:rPr>
          <w:lang w:val="ru-RU"/>
        </w:rPr>
        <w:t>така и при ДДС от внос от трети страни.</w:t>
      </w:r>
      <w:r w:rsidRPr="00070176">
        <w:t xml:space="preserve">  </w:t>
      </w:r>
    </w:p>
    <w:p w14:paraId="59640309" w14:textId="033B000A" w:rsidR="008969AB" w:rsidRPr="00AB0993" w:rsidRDefault="008969AB" w:rsidP="008969AB">
      <w:pPr>
        <w:spacing w:before="120"/>
        <w:ind w:right="-29"/>
        <w:jc w:val="both"/>
        <w:rPr>
          <w:color w:val="0070C0"/>
        </w:rPr>
      </w:pPr>
      <w:r w:rsidRPr="000F6E2C">
        <w:t xml:space="preserve">Нетният размер на приходите от </w:t>
      </w:r>
      <w:r w:rsidRPr="000F6E2C">
        <w:rPr>
          <w:i/>
        </w:rPr>
        <w:t>ДДС от внос</w:t>
      </w:r>
      <w:r w:rsidRPr="000F6E2C">
        <w:t xml:space="preserve"> </w:t>
      </w:r>
      <w:r w:rsidRPr="000F6E2C">
        <w:rPr>
          <w:bCs/>
        </w:rPr>
        <w:t>към март 2025 г.</w:t>
      </w:r>
      <w:r w:rsidRPr="000F6E2C">
        <w:t xml:space="preserve"> е 1 568,3 млн. лв. и се отчита нарастване с 11,2 % (157,7 млн. лв.) спрямо </w:t>
      </w:r>
      <w:r>
        <w:t>края на</w:t>
      </w:r>
      <w:r w:rsidRPr="000F6E2C">
        <w:t xml:space="preserve"> март 2024 г., </w:t>
      </w:r>
      <w:r w:rsidRPr="00B74887">
        <w:t xml:space="preserve">като </w:t>
      </w:r>
      <w:r>
        <w:t>увеличението</w:t>
      </w:r>
      <w:r w:rsidRPr="00B74887">
        <w:t xml:space="preserve"> е най-значително при внос на транспортно оборудване и </w:t>
      </w:r>
      <w:r>
        <w:t>п</w:t>
      </w:r>
      <w:r w:rsidRPr="005856CF">
        <w:t xml:space="preserve">отребителски стоки, храни, напитки и </w:t>
      </w:r>
      <w:r w:rsidRPr="00A650C2">
        <w:t>други. Разглеждайки декларирания ДДС при внос по групи стоки, съобразно Класификатора на широките икономически категории (</w:t>
      </w:r>
      <w:r w:rsidRPr="00A650C2">
        <w:rPr>
          <w:lang w:val="en-US"/>
        </w:rPr>
        <w:t>BEC</w:t>
      </w:r>
      <w:r w:rsidRPr="00A650C2">
        <w:t>) към март 2025 г. спрямо същия период на предходната година се наблюдава повишение при всички групи стоки с изключение на група „</w:t>
      </w:r>
      <w:r w:rsidRPr="003E09B5">
        <w:t xml:space="preserve">Горива и смазочни материали“. Върху постъпленията от ДДС от внос влияние оказва възможността </w:t>
      </w:r>
      <w:r w:rsidRPr="003E09B5">
        <w:rPr>
          <w:iCs/>
        </w:rPr>
        <w:t>за отложено начисляване на ДДС от вносител при внос на стоки от трети страни, в съответствие с разпоредбата на чл. 167а от Закона за данък върху добавената стойност.</w:t>
      </w:r>
      <w:r w:rsidRPr="003E09B5">
        <w:rPr>
          <w:bCs/>
        </w:rPr>
        <w:t xml:space="preserve"> </w:t>
      </w:r>
      <w:r w:rsidRPr="003E09B5">
        <w:t xml:space="preserve">Ефектът от прилагането на този режим към края на месец март 2025 г. </w:t>
      </w:r>
      <w:r w:rsidRPr="003E09B5">
        <w:rPr>
          <w:bCs/>
        </w:rPr>
        <w:t xml:space="preserve">е </w:t>
      </w:r>
      <w:proofErr w:type="spellStart"/>
      <w:r w:rsidRPr="003E09B5">
        <w:rPr>
          <w:bCs/>
        </w:rPr>
        <w:t>неначислен</w:t>
      </w:r>
      <w:proofErr w:type="spellEnd"/>
      <w:r w:rsidRPr="003E09B5">
        <w:rPr>
          <w:bCs/>
        </w:rPr>
        <w:t xml:space="preserve"> ДДС при внос в размер на </w:t>
      </w:r>
      <w:r w:rsidRPr="003E09B5">
        <w:rPr>
          <w:rFonts w:eastAsia="Calibri"/>
        </w:rPr>
        <w:t>389,3</w:t>
      </w:r>
      <w:r w:rsidRPr="003E09B5">
        <w:rPr>
          <w:bCs/>
        </w:rPr>
        <w:t xml:space="preserve"> млн. лв., което е с </w:t>
      </w:r>
      <w:r w:rsidRPr="003E09B5">
        <w:rPr>
          <w:rFonts w:eastAsia="Calibri"/>
        </w:rPr>
        <w:t>34,3</w:t>
      </w:r>
      <w:r w:rsidRPr="003E09B5">
        <w:rPr>
          <w:bCs/>
        </w:rPr>
        <w:t xml:space="preserve"> млн. лв. повече спрямо 2024 г. и е регистриран ръст от 9,7 %. Стоките с най-значителен дял </w:t>
      </w:r>
      <w:r w:rsidR="001C2554">
        <w:rPr>
          <w:bCs/>
        </w:rPr>
        <w:t>под режима</w:t>
      </w:r>
      <w:r w:rsidR="001C2554" w:rsidRPr="003E09B5">
        <w:rPr>
          <w:bCs/>
        </w:rPr>
        <w:t xml:space="preserve"> </w:t>
      </w:r>
      <w:r w:rsidRPr="003E09B5">
        <w:rPr>
          <w:bCs/>
        </w:rPr>
        <w:t>са: р</w:t>
      </w:r>
      <w:r w:rsidRPr="003E09B5">
        <w:t xml:space="preserve">уди, шлаки и </w:t>
      </w:r>
      <w:proofErr w:type="spellStart"/>
      <w:r w:rsidRPr="003E09B5">
        <w:t>пепели</w:t>
      </w:r>
      <w:proofErr w:type="spellEnd"/>
      <w:r w:rsidRPr="003E09B5">
        <w:t xml:space="preserve"> </w:t>
      </w:r>
      <w:r w:rsidRPr="003E09B5">
        <w:rPr>
          <w:bCs/>
        </w:rPr>
        <w:t xml:space="preserve">– </w:t>
      </w:r>
      <w:r w:rsidRPr="003E09B5">
        <w:rPr>
          <w:rFonts w:eastAsia="Calibri"/>
        </w:rPr>
        <w:t>211,1</w:t>
      </w:r>
      <w:r>
        <w:rPr>
          <w:bCs/>
        </w:rPr>
        <w:t> </w:t>
      </w:r>
      <w:r w:rsidRPr="00ED592A">
        <w:rPr>
          <w:bCs/>
        </w:rPr>
        <w:t xml:space="preserve">млн. лв. (намаление в сравнение с месец март 2024 г. от </w:t>
      </w:r>
      <w:r w:rsidRPr="00ED592A">
        <w:rPr>
          <w:rFonts w:eastAsia="Calibri"/>
          <w:color w:val="000000"/>
        </w:rPr>
        <w:t>3,7</w:t>
      </w:r>
      <w:r w:rsidRPr="00ED592A">
        <w:rPr>
          <w:bCs/>
        </w:rPr>
        <w:t xml:space="preserve"> млн. лв.), мед и изделия от мед – </w:t>
      </w:r>
      <w:r w:rsidRPr="00ED592A">
        <w:rPr>
          <w:rFonts w:eastAsia="Calibri"/>
          <w:color w:val="000000"/>
        </w:rPr>
        <w:t>75,2</w:t>
      </w:r>
      <w:r w:rsidRPr="00ED592A">
        <w:rPr>
          <w:bCs/>
        </w:rPr>
        <w:t xml:space="preserve"> млн. лв. (увеличение с </w:t>
      </w:r>
      <w:r w:rsidRPr="00ED592A">
        <w:rPr>
          <w:rFonts w:eastAsia="Calibri"/>
          <w:color w:val="000000"/>
        </w:rPr>
        <w:t>18,3</w:t>
      </w:r>
      <w:r w:rsidRPr="00ED592A">
        <w:rPr>
          <w:bCs/>
        </w:rPr>
        <w:t xml:space="preserve"> млн. лв.) и </w:t>
      </w:r>
      <w:r w:rsidRPr="00ED592A">
        <w:t xml:space="preserve">чугун, желязо и стомана – 42,2 млн. лв. (увеличение с 0,04 млн. лева). Изброените три групи стоки формират </w:t>
      </w:r>
      <w:r w:rsidRPr="00ED592A">
        <w:rPr>
          <w:rFonts w:eastAsia="Calibri"/>
          <w:color w:val="000000"/>
        </w:rPr>
        <w:t>84,4</w:t>
      </w:r>
      <w:r w:rsidRPr="00ED592A">
        <w:t xml:space="preserve"> % от </w:t>
      </w:r>
      <w:proofErr w:type="spellStart"/>
      <w:r w:rsidRPr="00ED592A">
        <w:t>неначисления</w:t>
      </w:r>
      <w:proofErr w:type="spellEnd"/>
      <w:r w:rsidRPr="00ED592A">
        <w:t xml:space="preserve"> ДДС при внос за първите три месеца на 2025 година</w:t>
      </w:r>
      <w:r w:rsidRPr="00AB0993">
        <w:rPr>
          <w:color w:val="0070C0"/>
        </w:rPr>
        <w:t xml:space="preserve">. </w:t>
      </w:r>
    </w:p>
    <w:p w14:paraId="6CD5568B" w14:textId="77777777" w:rsidR="008969AB" w:rsidRPr="00A95328" w:rsidRDefault="008969AB" w:rsidP="008969AB">
      <w:pPr>
        <w:spacing w:before="120"/>
        <w:jc w:val="both"/>
        <w:rPr>
          <w:bCs/>
        </w:rPr>
      </w:pPr>
      <w:r w:rsidRPr="00A95328">
        <w:t>Постъпленията от</w:t>
      </w:r>
      <w:r w:rsidRPr="00A95328">
        <w:rPr>
          <w:i/>
        </w:rPr>
        <w:t xml:space="preserve"> ДДС при сделки в страната и ВОП (нето)</w:t>
      </w:r>
      <w:r w:rsidRPr="00A95328">
        <w:t xml:space="preserve"> </w:t>
      </w:r>
      <w:r w:rsidRPr="00A95328">
        <w:rPr>
          <w:bCs/>
        </w:rPr>
        <w:t>към март 2025 г.</w:t>
      </w:r>
      <w:r w:rsidRPr="00A95328">
        <w:t xml:space="preserve"> възлизат на 3 175,1 млн. лв. Сравнени с данните за същия период на предходната година постъпленията </w:t>
      </w:r>
      <w:r w:rsidRPr="00A95328">
        <w:rPr>
          <w:bCs/>
        </w:rPr>
        <w:t xml:space="preserve">нарастват с </w:t>
      </w:r>
      <w:r w:rsidRPr="00A95328">
        <w:rPr>
          <w:bCs/>
          <w:lang w:val="ru-RU"/>
        </w:rPr>
        <w:t>583,0 млн. лева.</w:t>
      </w:r>
    </w:p>
    <w:p w14:paraId="4F661060" w14:textId="1A95096C" w:rsidR="008969AB" w:rsidRPr="00AB0993" w:rsidRDefault="008969AB" w:rsidP="008969AB">
      <w:pPr>
        <w:spacing w:before="120"/>
        <w:jc w:val="both"/>
        <w:rPr>
          <w:bCs/>
          <w:color w:val="0070C0"/>
        </w:rPr>
      </w:pPr>
      <w:r w:rsidRPr="006D7D4F">
        <w:t>Ефективно внесеният ДДС по сметките на НАП</w:t>
      </w:r>
      <w:r w:rsidRPr="006D7D4F">
        <w:rPr>
          <w:i/>
        </w:rPr>
        <w:t xml:space="preserve"> </w:t>
      </w:r>
      <w:r w:rsidRPr="006D7D4F">
        <w:t>се</w:t>
      </w:r>
      <w:r w:rsidRPr="006D7D4F">
        <w:rPr>
          <w:i/>
        </w:rPr>
        <w:t xml:space="preserve"> </w:t>
      </w:r>
      <w:r w:rsidRPr="006D7D4F">
        <w:t>формира от данък по справки-декларации от сделки в страната и ВОП и допълнително внесени суми, разкрити с данъчно-ревизионни актове при ревизии.</w:t>
      </w:r>
      <w:r w:rsidRPr="00EE3524">
        <w:t xml:space="preserve"> </w:t>
      </w:r>
      <w:r w:rsidRPr="00B84BF2">
        <w:t xml:space="preserve">Тези постъпления са </w:t>
      </w:r>
      <w:r w:rsidRPr="00862C18">
        <w:t xml:space="preserve">в размер на </w:t>
      </w:r>
      <w:r>
        <w:t>5 938,2</w:t>
      </w:r>
      <w:r w:rsidRPr="002624DE">
        <w:t xml:space="preserve"> млн. лв., което представлява ръст от </w:t>
      </w:r>
      <w:r>
        <w:t>511,8</w:t>
      </w:r>
      <w:r w:rsidR="00377B9F">
        <w:t> </w:t>
      </w:r>
      <w:r>
        <w:t>млн. лв.</w:t>
      </w:r>
      <w:r w:rsidRPr="002624DE">
        <w:t xml:space="preserve"> </w:t>
      </w:r>
      <w:r>
        <w:t xml:space="preserve">(9,4 %) </w:t>
      </w:r>
      <w:r w:rsidRPr="002624DE">
        <w:t xml:space="preserve">спрямо </w:t>
      </w:r>
      <w:r>
        <w:t>март</w:t>
      </w:r>
      <w:r w:rsidRPr="002624DE">
        <w:t xml:space="preserve"> 202</w:t>
      </w:r>
      <w:r>
        <w:t>4</w:t>
      </w:r>
      <w:r w:rsidRPr="002624DE">
        <w:t xml:space="preserve"> година. Декларираният ДДС за възстановяване зависи от размера на износа и извършените инвестиции. Регистрираните лица по ДДС упражняват право на данъчен кредит чрез приспадане по реда на чл. 92, ал. 1 от ЗДДС или чрез ефективно възстановяване от данъчната администрация след определения срок. </w:t>
      </w:r>
      <w:r w:rsidRPr="002624DE">
        <w:rPr>
          <w:i/>
        </w:rPr>
        <w:t>Приспаднатият данък</w:t>
      </w:r>
      <w:r w:rsidRPr="002624DE">
        <w:t xml:space="preserve"> </w:t>
      </w:r>
      <w:r>
        <w:t>към</w:t>
      </w:r>
      <w:r w:rsidRPr="002624DE">
        <w:t xml:space="preserve"> </w:t>
      </w:r>
      <w:r>
        <w:t>март</w:t>
      </w:r>
      <w:r w:rsidRPr="002624DE">
        <w:t xml:space="preserve"> 202</w:t>
      </w:r>
      <w:r>
        <w:rPr>
          <w:lang w:val="en-US"/>
        </w:rPr>
        <w:t>5</w:t>
      </w:r>
      <w:r w:rsidRPr="002624DE">
        <w:t xml:space="preserve"> г. е </w:t>
      </w:r>
      <w:r>
        <w:rPr>
          <w:lang w:val="en-US"/>
        </w:rPr>
        <w:t>299,0</w:t>
      </w:r>
      <w:r w:rsidRPr="002624DE">
        <w:t xml:space="preserve"> млн. лв</w:t>
      </w:r>
      <w:r w:rsidRPr="00292433">
        <w:t xml:space="preserve">. и е с </w:t>
      </w:r>
      <w:r w:rsidRPr="00292433">
        <w:rPr>
          <w:lang w:val="en-US"/>
        </w:rPr>
        <w:t>45,4</w:t>
      </w:r>
      <w:r w:rsidRPr="00292433">
        <w:t xml:space="preserve"> млн. лв. повече</w:t>
      </w:r>
      <w:r w:rsidRPr="00742631">
        <w:t xml:space="preserve"> от 2024 година (17,9 % ръст). </w:t>
      </w:r>
      <w:r w:rsidRPr="00742631">
        <w:rPr>
          <w:i/>
        </w:rPr>
        <w:t>Възстановеният данък</w:t>
      </w:r>
      <w:r w:rsidRPr="00742631">
        <w:t xml:space="preserve"> </w:t>
      </w:r>
      <w:r w:rsidR="00D323B7" w:rsidRPr="00D323B7">
        <w:t>намалява</w:t>
      </w:r>
      <w:r w:rsidR="00D323B7">
        <w:t xml:space="preserve"> </w:t>
      </w:r>
      <w:r w:rsidRPr="00292433">
        <w:t>и е в размер</w:t>
      </w:r>
      <w:r w:rsidRPr="002624DE">
        <w:t xml:space="preserve"> на </w:t>
      </w:r>
      <w:r>
        <w:t>2 763,1</w:t>
      </w:r>
      <w:r w:rsidRPr="002624DE">
        <w:t xml:space="preserve"> млн. лв., което е с</w:t>
      </w:r>
      <w:r>
        <w:t>ъс</w:t>
      </w:r>
      <w:r w:rsidRPr="002624DE">
        <w:t xml:space="preserve"> </w:t>
      </w:r>
      <w:r>
        <w:rPr>
          <w:lang w:val="en-US"/>
        </w:rPr>
        <w:t>71,2</w:t>
      </w:r>
      <w:r w:rsidRPr="002624DE">
        <w:t xml:space="preserve"> млн. лв. </w:t>
      </w:r>
      <w:r>
        <w:t>(2,5</w:t>
      </w:r>
      <w:r w:rsidR="00F70ED3">
        <w:t> </w:t>
      </w:r>
      <w:r>
        <w:t>%) под</w:t>
      </w:r>
      <w:r w:rsidRPr="002624DE">
        <w:t xml:space="preserve"> </w:t>
      </w:r>
      <w:r w:rsidRPr="003B1511">
        <w:t xml:space="preserve">възстановените суми към март миналата година. </w:t>
      </w:r>
      <w:r w:rsidRPr="003B1511">
        <w:rPr>
          <w:shd w:val="clear" w:color="auto" w:fill="FFFFFF"/>
        </w:rPr>
        <w:t xml:space="preserve">Невъзстановеният ДДС към края на месец март 2025 г. е в размер на 82,3 млн. лв., </w:t>
      </w:r>
      <w:r w:rsidRPr="003B1511">
        <w:t>като се увеличава със 17,0 млн. лв. (</w:t>
      </w:r>
      <w:r w:rsidRPr="003B1511">
        <w:rPr>
          <w:lang w:val="en-US"/>
        </w:rPr>
        <w:t>25,9</w:t>
      </w:r>
      <w:r w:rsidR="00DD6A21">
        <w:t> </w:t>
      </w:r>
      <w:r w:rsidRPr="003B1511">
        <w:rPr>
          <w:lang w:val="en-US"/>
        </w:rPr>
        <w:t>%</w:t>
      </w:r>
      <w:r w:rsidRPr="003B1511">
        <w:t xml:space="preserve">) </w:t>
      </w:r>
      <w:r w:rsidRPr="003B1511">
        <w:rPr>
          <w:shd w:val="clear" w:color="auto" w:fill="FFFFFF"/>
        </w:rPr>
        <w:t>спрямо същия период на 2024 година.</w:t>
      </w:r>
      <w:r w:rsidRPr="003B1511">
        <w:rPr>
          <w:bCs/>
        </w:rPr>
        <w:t xml:space="preserve"> </w:t>
      </w:r>
    </w:p>
    <w:p w14:paraId="198F12B6" w14:textId="77777777" w:rsidR="008969AB" w:rsidRPr="00E21348" w:rsidRDefault="008969AB" w:rsidP="008969AB">
      <w:pPr>
        <w:spacing w:before="120" w:after="120"/>
        <w:jc w:val="both"/>
      </w:pPr>
      <w:r w:rsidRPr="007106F2">
        <w:rPr>
          <w:b/>
        </w:rPr>
        <w:t xml:space="preserve">Приходите от акцизи (нето) </w:t>
      </w:r>
      <w:r w:rsidRPr="007106F2">
        <w:t xml:space="preserve">от внос, вътрешно производство и въведени в страната от други държави-членки на ЕС акцизни стоки са в размер на </w:t>
      </w:r>
      <w:r w:rsidRPr="007106F2">
        <w:rPr>
          <w:b/>
          <w:lang w:val="en-US"/>
        </w:rPr>
        <w:t>1 </w:t>
      </w:r>
      <w:r w:rsidRPr="007106F2">
        <w:rPr>
          <w:b/>
        </w:rPr>
        <w:t>514,2 млн. лв</w:t>
      </w:r>
      <w:r w:rsidRPr="007106F2">
        <w:t xml:space="preserve">., което е 19,7 % от планираните със ЗДБРБ за 2025 г. Съпоставени със същия период на предходната година постъпленията от акцизи са с 39,2 млн. лв. (2,5 %) по-малко. </w:t>
      </w:r>
    </w:p>
    <w:p w14:paraId="20CD8FCF" w14:textId="32526A75" w:rsidR="008969AB" w:rsidRPr="009130BB" w:rsidRDefault="008969AB" w:rsidP="008969AB">
      <w:pPr>
        <w:spacing w:before="120" w:after="120"/>
        <w:jc w:val="both"/>
      </w:pPr>
      <w:r w:rsidRPr="009130BB">
        <w:t>Относителният дял на нетните постъпления от акциз по стокови групи е от: тютюн и тютюневи изделия (54,</w:t>
      </w:r>
      <w:r w:rsidR="000B4481">
        <w:t>8</w:t>
      </w:r>
      <w:r w:rsidRPr="009130BB">
        <w:t> %); горива (39,8 %); алкохол и алкохолни напитки, вкл. бира (4,5 %) и други акцизни стоки (0,9 %). Постъпленията от акциз към март 2025 г. по основни стокови групи, са както следва:</w:t>
      </w:r>
    </w:p>
    <w:p w14:paraId="0912BAD0" w14:textId="77777777" w:rsidR="008969AB" w:rsidRPr="00804FA0" w:rsidRDefault="008969AB" w:rsidP="008969AB">
      <w:pPr>
        <w:numPr>
          <w:ilvl w:val="0"/>
          <w:numId w:val="14"/>
        </w:numPr>
        <w:ind w:firstLine="66"/>
        <w:jc w:val="both"/>
        <w:rPr>
          <w:i/>
        </w:rPr>
      </w:pPr>
      <w:r w:rsidRPr="00804FA0">
        <w:rPr>
          <w:i/>
        </w:rPr>
        <w:t xml:space="preserve">акцизите от тютюн и тютюневи изделия </w:t>
      </w:r>
      <w:r w:rsidRPr="00804FA0">
        <w:t>възлизат на</w:t>
      </w:r>
      <w:r w:rsidRPr="00804FA0">
        <w:rPr>
          <w:i/>
        </w:rPr>
        <w:t xml:space="preserve"> </w:t>
      </w:r>
      <w:r w:rsidRPr="00804FA0">
        <w:t>828,9 млн. лева</w:t>
      </w:r>
      <w:r w:rsidRPr="00804FA0">
        <w:rPr>
          <w:i/>
        </w:rPr>
        <w:t xml:space="preserve">; </w:t>
      </w:r>
    </w:p>
    <w:p w14:paraId="2E958366" w14:textId="77777777" w:rsidR="008969AB" w:rsidRPr="00804FA0" w:rsidRDefault="008969AB" w:rsidP="008969AB">
      <w:pPr>
        <w:numPr>
          <w:ilvl w:val="0"/>
          <w:numId w:val="14"/>
        </w:numPr>
        <w:ind w:firstLine="66"/>
        <w:jc w:val="both"/>
      </w:pPr>
      <w:r w:rsidRPr="00804FA0">
        <w:rPr>
          <w:i/>
        </w:rPr>
        <w:t>акцизите от горива</w:t>
      </w:r>
      <w:r w:rsidRPr="00804FA0">
        <w:t xml:space="preserve"> са в размер на 602,7 млн. лева; </w:t>
      </w:r>
    </w:p>
    <w:p w14:paraId="38DE9E9F" w14:textId="77777777" w:rsidR="008969AB" w:rsidRPr="00804FA0" w:rsidRDefault="008969AB" w:rsidP="008969AB">
      <w:pPr>
        <w:numPr>
          <w:ilvl w:val="0"/>
          <w:numId w:val="14"/>
        </w:numPr>
        <w:ind w:firstLine="66"/>
        <w:jc w:val="both"/>
      </w:pPr>
      <w:r w:rsidRPr="00804FA0">
        <w:rPr>
          <w:i/>
        </w:rPr>
        <w:t xml:space="preserve">акцизите от алкохол и алкохолни напитки (вкл. бира) </w:t>
      </w:r>
      <w:r w:rsidRPr="00804FA0">
        <w:t xml:space="preserve">възлизат на 68,4 млн. лева; </w:t>
      </w:r>
    </w:p>
    <w:p w14:paraId="4F7806F0" w14:textId="77777777" w:rsidR="008969AB" w:rsidRPr="00804FA0" w:rsidRDefault="008969AB" w:rsidP="008969AB">
      <w:pPr>
        <w:numPr>
          <w:ilvl w:val="0"/>
          <w:numId w:val="14"/>
        </w:numPr>
        <w:ind w:firstLine="66"/>
        <w:jc w:val="both"/>
      </w:pPr>
      <w:r w:rsidRPr="00804FA0">
        <w:rPr>
          <w:i/>
        </w:rPr>
        <w:t xml:space="preserve">приходите от ел. енергия и др. акцизни стоки </w:t>
      </w:r>
      <w:r w:rsidRPr="00804FA0">
        <w:t>възлизат на 14,2 млн. лева.</w:t>
      </w:r>
    </w:p>
    <w:p w14:paraId="4AAF0279" w14:textId="77777777" w:rsidR="008969AB" w:rsidRPr="00AB0993" w:rsidRDefault="008969AB" w:rsidP="008969AB">
      <w:pPr>
        <w:ind w:left="360"/>
        <w:jc w:val="both"/>
        <w:rPr>
          <w:color w:val="0070C0"/>
          <w:sz w:val="8"/>
          <w:szCs w:val="8"/>
        </w:rPr>
      </w:pPr>
    </w:p>
    <w:p w14:paraId="36FEBB44" w14:textId="77777777" w:rsidR="008969AB" w:rsidRPr="00AB0993" w:rsidRDefault="008969AB" w:rsidP="008969AB">
      <w:pPr>
        <w:ind w:left="360"/>
        <w:jc w:val="both"/>
        <w:rPr>
          <w:color w:val="0070C0"/>
          <w:sz w:val="8"/>
          <w:szCs w:val="8"/>
        </w:rPr>
      </w:pPr>
    </w:p>
    <w:p w14:paraId="6562FB57" w14:textId="77777777" w:rsidR="008969AB" w:rsidRPr="00AB0993" w:rsidRDefault="008969AB" w:rsidP="008969AB">
      <w:pPr>
        <w:ind w:left="360"/>
        <w:jc w:val="both"/>
        <w:rPr>
          <w:color w:val="0070C0"/>
          <w:sz w:val="8"/>
          <w:szCs w:val="8"/>
        </w:rPr>
      </w:pPr>
    </w:p>
    <w:p w14:paraId="21511811" w14:textId="77777777" w:rsidR="008969AB" w:rsidRPr="008249BA" w:rsidRDefault="008969AB" w:rsidP="008969AB">
      <w:pPr>
        <w:spacing w:after="120"/>
        <w:jc w:val="both"/>
      </w:pPr>
      <w:r w:rsidRPr="008249BA">
        <w:rPr>
          <w:b/>
        </w:rPr>
        <w:t>Приходите от данък върху застрахователните премии</w:t>
      </w:r>
      <w:r w:rsidRPr="008249BA">
        <w:t xml:space="preserve"> са в размер на </w:t>
      </w:r>
      <w:r w:rsidRPr="008249BA">
        <w:rPr>
          <w:b/>
        </w:rPr>
        <w:t>17,3 млн. лв</w:t>
      </w:r>
      <w:r w:rsidRPr="008249BA">
        <w:t xml:space="preserve">., при планирани за годината 74,6 млн. лв., и в сравнение със същия период на 2024 г. отчитат ръст от 1,7 млн. лева. </w:t>
      </w:r>
    </w:p>
    <w:p w14:paraId="3F150763" w14:textId="64659A54" w:rsidR="008969AB" w:rsidRPr="00AB0993" w:rsidRDefault="008969AB" w:rsidP="008969AB">
      <w:pPr>
        <w:autoSpaceDE w:val="0"/>
        <w:autoSpaceDN w:val="0"/>
        <w:adjustRightInd w:val="0"/>
        <w:spacing w:after="120"/>
        <w:jc w:val="both"/>
        <w:rPr>
          <w:rFonts w:eastAsia="Batang"/>
          <w:bCs/>
          <w:color w:val="0070C0"/>
          <w:highlight w:val="yellow"/>
        </w:rPr>
      </w:pPr>
      <w:r w:rsidRPr="00D22D43">
        <w:rPr>
          <w:b/>
        </w:rPr>
        <w:t>Постъпленията от</w:t>
      </w:r>
      <w:r w:rsidRPr="00D22D43">
        <w:t xml:space="preserve"> </w:t>
      </w:r>
      <w:r w:rsidRPr="00D22D43">
        <w:rPr>
          <w:b/>
          <w:bCs/>
        </w:rPr>
        <w:t xml:space="preserve">мита </w:t>
      </w:r>
      <w:r w:rsidRPr="00D22D43">
        <w:t xml:space="preserve">възлизат на </w:t>
      </w:r>
      <w:r w:rsidRPr="00D22D43">
        <w:rPr>
          <w:b/>
        </w:rPr>
        <w:t>91,8 млн. лв</w:t>
      </w:r>
      <w:r w:rsidRPr="00D22D43">
        <w:t>. или 25,0 % от планираните със ЗДБРБ за 2025</w:t>
      </w:r>
      <w:r w:rsidR="00F81CDD">
        <w:t> </w:t>
      </w:r>
      <w:r w:rsidRPr="00D22D43">
        <w:t xml:space="preserve">г. като заемат 1,1 % относителен дял в общия размер на данъчните приходи по </w:t>
      </w:r>
      <w:r w:rsidRPr="00112A87">
        <w:t>държавния бюджет. В сравнение със същия период на предходната година събраните мита са с 26,1 млн. лв. (</w:t>
      </w:r>
      <w:r w:rsidRPr="00112A87">
        <w:rPr>
          <w:lang w:val="en-US"/>
        </w:rPr>
        <w:t>39</w:t>
      </w:r>
      <w:r w:rsidRPr="00112A87">
        <w:t>,</w:t>
      </w:r>
      <w:r w:rsidRPr="00112A87">
        <w:rPr>
          <w:lang w:val="en-US"/>
        </w:rPr>
        <w:t>7</w:t>
      </w:r>
      <w:r w:rsidRPr="00112A87">
        <w:t xml:space="preserve"> %) </w:t>
      </w:r>
      <w:r w:rsidRPr="005F7E7C">
        <w:t>повече. Негативно в</w:t>
      </w:r>
      <w:r w:rsidRPr="005F7E7C">
        <w:rPr>
          <w:rFonts w:eastAsia="Batang"/>
          <w:bCs/>
        </w:rPr>
        <w:t xml:space="preserve">лияние върху приходите от мита оказват нарушените вериги на доставки в резултат на събитията в Червено море, както и въведените от ЕС ограничителни мерки в съответствие с Регламент (ЕС) № 833/2014 и неговите </w:t>
      </w:r>
      <w:r w:rsidRPr="00930955">
        <w:rPr>
          <w:rFonts w:eastAsia="Batang"/>
          <w:bCs/>
        </w:rPr>
        <w:t>последващи изменения и допълнения. Друг фактор върху постъпленията от мита има Регламент (ЕС) 2024/1392  на ЕП и Съвета от 14 май 2024 г., както и действащият преди това Регламент (ЕС) 2023/1077 (прилага се до 5 юни 2024</w:t>
      </w:r>
      <w:r w:rsidR="006B012B">
        <w:rPr>
          <w:rFonts w:eastAsia="Batang"/>
          <w:bCs/>
        </w:rPr>
        <w:t> </w:t>
      </w:r>
      <w:r w:rsidRPr="00930955">
        <w:rPr>
          <w:rFonts w:eastAsia="Batang"/>
          <w:bCs/>
        </w:rPr>
        <w:t>г.) във връзка с преференциалния режим спрямо Украйна под формата на пълно премахване на вносните мита върху вноса на промишлени продукти от страната, спиране на прилагането на механизма на „входните цени“ по отношение на продукти съгласно приложение I-A към Споразумението за асоцииране, спиране на прилагането на тарифните квоти и пълно премахване на вносните мита за тези продукти, и други.</w:t>
      </w:r>
    </w:p>
    <w:p w14:paraId="24C9382F" w14:textId="77777777" w:rsidR="008969AB" w:rsidRPr="00AB0993" w:rsidRDefault="008969AB" w:rsidP="008969AB">
      <w:pPr>
        <w:tabs>
          <w:tab w:val="right" w:pos="9072"/>
        </w:tabs>
        <w:spacing w:after="120"/>
        <w:jc w:val="both"/>
        <w:rPr>
          <w:color w:val="0070C0"/>
        </w:rPr>
      </w:pPr>
      <w:r w:rsidRPr="008605D1">
        <w:t>Количествата на внесените стоки, обложени със ставка на митото, различна от „0“</w:t>
      </w:r>
      <w:r>
        <w:t>,</w:t>
      </w:r>
      <w:r w:rsidRPr="008605D1">
        <w:t xml:space="preserve"> нарастват с </w:t>
      </w:r>
      <w:r>
        <w:rPr>
          <w:color w:val="000000"/>
        </w:rPr>
        <w:t>50,</w:t>
      </w:r>
      <w:r w:rsidRPr="0035114C">
        <w:rPr>
          <w:color w:val="000000"/>
        </w:rPr>
        <w:t>8</w:t>
      </w:r>
      <w:r>
        <w:rPr>
          <w:color w:val="000000"/>
        </w:rPr>
        <w:t xml:space="preserve"> </w:t>
      </w:r>
      <w:r w:rsidRPr="00A5405E">
        <w:t>%. Осреднената статистическа стойност за кг внесена стока намалява с 5,9 %, а осреднената ставка на митото, приложена за облагане на внесените от трети страни спада с 1,4 % спрямо данните към март на предходната година.</w:t>
      </w:r>
    </w:p>
    <w:p w14:paraId="1A4F5472" w14:textId="77777777" w:rsidR="008969AB" w:rsidRPr="005819D2" w:rsidRDefault="008969AB" w:rsidP="008969AB">
      <w:pPr>
        <w:numPr>
          <w:ilvl w:val="0"/>
          <w:numId w:val="4"/>
        </w:numPr>
        <w:tabs>
          <w:tab w:val="clear" w:pos="1440"/>
          <w:tab w:val="num" w:pos="540"/>
        </w:tabs>
        <w:spacing w:before="240"/>
        <w:ind w:left="0" w:firstLine="181"/>
        <w:jc w:val="both"/>
        <w:rPr>
          <w:b/>
          <w:bCs/>
        </w:rPr>
      </w:pPr>
      <w:r w:rsidRPr="005819D2">
        <w:rPr>
          <w:b/>
          <w:bCs/>
        </w:rPr>
        <w:t>Други данъци</w:t>
      </w:r>
    </w:p>
    <w:p w14:paraId="70675A86" w14:textId="428FB707" w:rsidR="008969AB" w:rsidRDefault="008969AB" w:rsidP="008969AB">
      <w:pPr>
        <w:spacing w:before="120"/>
        <w:jc w:val="both"/>
        <w:rPr>
          <w:bCs/>
        </w:rPr>
      </w:pPr>
      <w:r w:rsidRPr="005819D2">
        <w:t xml:space="preserve">Постъпленията от </w:t>
      </w:r>
      <w:r w:rsidRPr="005819D2">
        <w:rPr>
          <w:b/>
        </w:rPr>
        <w:t>други данъци</w:t>
      </w:r>
      <w:r w:rsidRPr="005819D2">
        <w:t xml:space="preserve"> </w:t>
      </w:r>
      <w:r w:rsidR="00D63D36" w:rsidRPr="00CF2541">
        <w:t>(</w:t>
      </w:r>
      <w:r w:rsidR="00D63D36">
        <w:t xml:space="preserve">с основен дял на </w:t>
      </w:r>
      <w:r w:rsidR="00D63D36" w:rsidRPr="00665E1B">
        <w:t>позиция „Други данъци по ЗКПО“</w:t>
      </w:r>
      <w:r w:rsidR="00D63D36">
        <w:t xml:space="preserve"> в тях</w:t>
      </w:r>
      <w:r w:rsidR="00D63D36" w:rsidRPr="00CF2541">
        <w:t>)</w:t>
      </w:r>
      <w:r w:rsidR="00D63D36" w:rsidRPr="005819D2">
        <w:t xml:space="preserve"> </w:t>
      </w:r>
      <w:r w:rsidRPr="005819D2">
        <w:t xml:space="preserve">по държавния бюджет </w:t>
      </w:r>
      <w:r w:rsidRPr="005819D2">
        <w:rPr>
          <w:bCs/>
        </w:rPr>
        <w:t>към края на март 2025</w:t>
      </w:r>
      <w:r w:rsidRPr="005819D2">
        <w:t xml:space="preserve"> г. са в размер на </w:t>
      </w:r>
      <w:r w:rsidRPr="005819D2">
        <w:rPr>
          <w:b/>
        </w:rPr>
        <w:t>38,1 млн. лв.</w:t>
      </w:r>
      <w:r w:rsidRPr="005819D2">
        <w:rPr>
          <w:bCs/>
        </w:rPr>
        <w:t xml:space="preserve"> или 6,1 % от планираните със ЗДБРБ за 2025 г. Съпоставени с данните към март 2024 г. приходите от други данъци нарастват с 9,1 млн. лв. </w:t>
      </w:r>
      <w:r w:rsidRPr="005819D2">
        <w:rPr>
          <w:bCs/>
          <w:lang w:val="en-US"/>
        </w:rPr>
        <w:t>(</w:t>
      </w:r>
      <w:r w:rsidRPr="005819D2">
        <w:rPr>
          <w:bCs/>
        </w:rPr>
        <w:t>31,3 %</w:t>
      </w:r>
      <w:r w:rsidRPr="005819D2">
        <w:rPr>
          <w:bCs/>
          <w:lang w:val="en-US"/>
        </w:rPr>
        <w:t>)</w:t>
      </w:r>
      <w:r w:rsidRPr="005819D2">
        <w:rPr>
          <w:bCs/>
          <w:lang w:val="ru-RU"/>
        </w:rPr>
        <w:t>.</w:t>
      </w:r>
      <w:r w:rsidRPr="005819D2">
        <w:rPr>
          <w:bCs/>
        </w:rPr>
        <w:t xml:space="preserve"> </w:t>
      </w:r>
    </w:p>
    <w:p w14:paraId="4808C0F6" w14:textId="77777777" w:rsidR="0004521E" w:rsidRPr="00AB0993" w:rsidRDefault="0004521E" w:rsidP="008969AB">
      <w:pPr>
        <w:spacing w:before="120"/>
        <w:jc w:val="both"/>
        <w:rPr>
          <w:color w:val="0070C0"/>
        </w:rPr>
      </w:pPr>
    </w:p>
    <w:p w14:paraId="12DF87FE" w14:textId="77777777" w:rsidR="008969AB" w:rsidRPr="0012330C" w:rsidRDefault="008969AB" w:rsidP="00D430C6">
      <w:pPr>
        <w:numPr>
          <w:ilvl w:val="0"/>
          <w:numId w:val="3"/>
        </w:numPr>
        <w:tabs>
          <w:tab w:val="num" w:pos="720"/>
        </w:tabs>
        <w:ind w:left="0" w:firstLine="181"/>
        <w:jc w:val="both"/>
      </w:pPr>
      <w:r w:rsidRPr="0012330C">
        <w:rPr>
          <w:b/>
          <w:bCs/>
        </w:rPr>
        <w:t>Неданъчни приходи</w:t>
      </w:r>
    </w:p>
    <w:p w14:paraId="2470E0F5" w14:textId="77777777" w:rsidR="008969AB" w:rsidRPr="0012330C" w:rsidRDefault="008969AB" w:rsidP="008969AB">
      <w:pPr>
        <w:tabs>
          <w:tab w:val="left" w:pos="900"/>
        </w:tabs>
        <w:spacing w:before="120" w:after="120"/>
        <w:jc w:val="both"/>
      </w:pPr>
      <w:r w:rsidRPr="0012330C">
        <w:rPr>
          <w:b/>
        </w:rPr>
        <w:t>Отчетените</w:t>
      </w:r>
      <w:r w:rsidRPr="0012330C">
        <w:rPr>
          <w:b/>
          <w:bCs/>
        </w:rPr>
        <w:t xml:space="preserve"> неданъчни приходи</w:t>
      </w:r>
      <w:r w:rsidRPr="0012330C">
        <w:rPr>
          <w:b/>
        </w:rPr>
        <w:t xml:space="preserve"> </w:t>
      </w:r>
      <w:r w:rsidRPr="0012330C">
        <w:t xml:space="preserve">по държавния бюджет </w:t>
      </w:r>
      <w:r w:rsidRPr="0012330C">
        <w:rPr>
          <w:bCs/>
        </w:rPr>
        <w:t>към март 202</w:t>
      </w:r>
      <w:r w:rsidRPr="0012330C">
        <w:rPr>
          <w:bCs/>
          <w:lang w:val="ru-RU"/>
        </w:rPr>
        <w:t>5</w:t>
      </w:r>
      <w:r w:rsidRPr="0012330C">
        <w:rPr>
          <w:bCs/>
        </w:rPr>
        <w:t xml:space="preserve"> г.</w:t>
      </w:r>
      <w:r w:rsidRPr="0012330C">
        <w:t xml:space="preserve"> са в размер на </w:t>
      </w:r>
      <w:r w:rsidRPr="0012330C">
        <w:rPr>
          <w:b/>
          <w:lang w:val="ru-RU"/>
        </w:rPr>
        <w:t>1 096,3</w:t>
      </w:r>
      <w:r w:rsidRPr="0012330C">
        <w:rPr>
          <w:b/>
        </w:rPr>
        <w:t> млн. лв</w:t>
      </w:r>
      <w:r w:rsidRPr="0012330C">
        <w:t xml:space="preserve">. </w:t>
      </w:r>
      <w:r w:rsidRPr="0012330C">
        <w:rPr>
          <w:lang w:val="en-US"/>
        </w:rPr>
        <w:t>(</w:t>
      </w:r>
      <w:r w:rsidRPr="0012330C">
        <w:t>15,7</w:t>
      </w:r>
      <w:r w:rsidRPr="0012330C">
        <w:rPr>
          <w:lang w:val="en-US"/>
        </w:rPr>
        <w:t xml:space="preserve"> % </w:t>
      </w:r>
      <w:r w:rsidRPr="001C6A34">
        <w:t>от планираните</w:t>
      </w:r>
      <w:r w:rsidRPr="0012330C">
        <w:rPr>
          <w:lang w:val="en-US"/>
        </w:rPr>
        <w:t xml:space="preserve"> за 202</w:t>
      </w:r>
      <w:r w:rsidRPr="0012330C">
        <w:t>5</w:t>
      </w:r>
      <w:r w:rsidRPr="0012330C">
        <w:rPr>
          <w:lang w:val="en-US"/>
        </w:rPr>
        <w:t xml:space="preserve"> г.) </w:t>
      </w:r>
      <w:r w:rsidRPr="0012330C">
        <w:t>и се формират основно от приходи от държавни такси, приходи и доходи от собственост, приходи от концесии и други неданъчни приходи.</w:t>
      </w:r>
    </w:p>
    <w:p w14:paraId="1972EE00" w14:textId="77777777" w:rsidR="008969AB" w:rsidRPr="002421D6" w:rsidRDefault="008969AB" w:rsidP="008969AB">
      <w:pPr>
        <w:numPr>
          <w:ilvl w:val="0"/>
          <w:numId w:val="3"/>
        </w:numPr>
        <w:tabs>
          <w:tab w:val="num" w:pos="720"/>
        </w:tabs>
        <w:ind w:left="0" w:firstLine="181"/>
        <w:jc w:val="both"/>
        <w:rPr>
          <w:b/>
          <w:bCs/>
        </w:rPr>
      </w:pPr>
      <w:r w:rsidRPr="002421D6">
        <w:rPr>
          <w:b/>
          <w:bCs/>
        </w:rPr>
        <w:t>Помощи и дарения</w:t>
      </w:r>
    </w:p>
    <w:p w14:paraId="6921250E" w14:textId="77777777" w:rsidR="008969AB" w:rsidRPr="002421D6" w:rsidRDefault="008969AB" w:rsidP="008969AB">
      <w:pPr>
        <w:spacing w:before="120" w:after="120"/>
        <w:jc w:val="both"/>
        <w:rPr>
          <w:b/>
        </w:rPr>
      </w:pPr>
      <w:r w:rsidRPr="002421D6">
        <w:rPr>
          <w:b/>
        </w:rPr>
        <w:t>Помощите</w:t>
      </w:r>
      <w:r w:rsidRPr="002421D6">
        <w:t xml:space="preserve"> </w:t>
      </w:r>
      <w:r w:rsidRPr="002421D6">
        <w:rPr>
          <w:b/>
        </w:rPr>
        <w:t>и даренията</w:t>
      </w:r>
      <w:r w:rsidRPr="002421D6">
        <w:t xml:space="preserve"> по държавния бюджет към март 2025 г. са в размер на </w:t>
      </w:r>
      <w:r w:rsidRPr="002421D6">
        <w:rPr>
          <w:b/>
        </w:rPr>
        <w:t xml:space="preserve">350,0 млн. лв., </w:t>
      </w:r>
      <w:r w:rsidRPr="002421D6">
        <w:t xml:space="preserve">в т. ч. 348,6 млн. лв. постъпили в края на месец януари еднократни приходи по споразумение между Министерството на отбраната на Република България и Министерството на отбраната на Кралство Дания за сътрудничество в областта на материалните ресурси за отбрана. </w:t>
      </w:r>
    </w:p>
    <w:p w14:paraId="379766A0" w14:textId="77777777" w:rsidR="008969AB" w:rsidRPr="00AF53E2" w:rsidRDefault="008969AB" w:rsidP="008969AB">
      <w:pPr>
        <w:numPr>
          <w:ilvl w:val="0"/>
          <w:numId w:val="5"/>
        </w:numPr>
        <w:tabs>
          <w:tab w:val="clear" w:pos="7650"/>
          <w:tab w:val="num" w:pos="426"/>
        </w:tabs>
        <w:spacing w:before="240"/>
        <w:ind w:left="0" w:firstLine="0"/>
        <w:jc w:val="both"/>
        <w:rPr>
          <w:b/>
          <w:bCs/>
        </w:rPr>
      </w:pPr>
      <w:r w:rsidRPr="00AF53E2">
        <w:rPr>
          <w:b/>
          <w:bCs/>
        </w:rPr>
        <w:t>Разходи по държавния бюджет</w:t>
      </w:r>
    </w:p>
    <w:p w14:paraId="4648C81D" w14:textId="77777777" w:rsidR="008969AB" w:rsidRPr="00AB0993" w:rsidRDefault="008969AB" w:rsidP="008969AB">
      <w:pPr>
        <w:jc w:val="both"/>
        <w:rPr>
          <w:b/>
          <w:bCs/>
          <w:color w:val="0070C0"/>
          <w:sz w:val="4"/>
          <w:szCs w:val="4"/>
        </w:rPr>
      </w:pPr>
    </w:p>
    <w:p w14:paraId="7131DF04" w14:textId="77777777" w:rsidR="008969AB" w:rsidRDefault="008969AB" w:rsidP="008969AB">
      <w:pPr>
        <w:pStyle w:val="BodyTextIndent"/>
        <w:spacing w:after="0"/>
        <w:ind w:left="0"/>
        <w:jc w:val="both"/>
        <w:rPr>
          <w:rFonts w:eastAsia="Calibri"/>
        </w:rPr>
      </w:pPr>
      <w:r w:rsidRPr="00AF53E2">
        <w:t xml:space="preserve">Общият размер на </w:t>
      </w:r>
      <w:r w:rsidRPr="00AF53E2">
        <w:rPr>
          <w:b/>
        </w:rPr>
        <w:t>разходите по държавния бюджет</w:t>
      </w:r>
      <w:r w:rsidRPr="00AF53E2">
        <w:t xml:space="preserve"> </w:t>
      </w:r>
      <w:r w:rsidRPr="00AF53E2">
        <w:rPr>
          <w:lang w:val="ru-RU"/>
        </w:rPr>
        <w:t xml:space="preserve">(вкл. трансферите за др. бюджети и </w:t>
      </w:r>
      <w:r w:rsidRPr="00740D64">
        <w:rPr>
          <w:lang w:val="ru-RU"/>
        </w:rPr>
        <w:t xml:space="preserve">вноската в бюджета на ЕС) </w:t>
      </w:r>
      <w:r w:rsidRPr="00740D64">
        <w:rPr>
          <w:bCs/>
        </w:rPr>
        <w:t>към март 2025 г.</w:t>
      </w:r>
      <w:r w:rsidRPr="00740D64">
        <w:t xml:space="preserve"> е </w:t>
      </w:r>
      <w:r w:rsidRPr="00740D64">
        <w:rPr>
          <w:b/>
        </w:rPr>
        <w:t>12 359,3 млн. лв</w:t>
      </w:r>
      <w:r w:rsidRPr="00740D64">
        <w:t>., 19,8 % от разчета. С оглед постигане на съпоставимост на графиката по-долу за 2024 г. е елиминирано влиянието на трансакцията по</w:t>
      </w:r>
      <w:r w:rsidRPr="00740D64">
        <w:rPr>
          <w:rFonts w:eastAsia="Calibri"/>
        </w:rPr>
        <w:t xml:space="preserve"> чл. 71, ал.1 от Постановление № 13 на Министерския съвет от 2024 г. (възстановени разходи в размер на 1 200 млн. лв. от сметката за чужди средства по бюджета на Министерството на регионалното развитие и благоустройството</w:t>
      </w:r>
      <w:r w:rsidRPr="00740D64">
        <w:rPr>
          <w:rFonts w:eastAsia="Calibri"/>
          <w:lang w:val="en-US"/>
        </w:rPr>
        <w:t>)</w:t>
      </w:r>
      <w:r w:rsidRPr="00740D64">
        <w:rPr>
          <w:rFonts w:eastAsia="Calibri"/>
        </w:rPr>
        <w:t>.</w:t>
      </w:r>
    </w:p>
    <w:p w14:paraId="21459E88" w14:textId="77777777" w:rsidR="008969AB" w:rsidRPr="00AB0993" w:rsidRDefault="008969AB" w:rsidP="008969AB">
      <w:pPr>
        <w:pStyle w:val="BodyTextIndent"/>
        <w:spacing w:after="0"/>
        <w:ind w:left="0"/>
        <w:jc w:val="both"/>
        <w:rPr>
          <w:color w:val="0070C0"/>
        </w:rPr>
      </w:pPr>
    </w:p>
    <w:p w14:paraId="06DF8779" w14:textId="77777777" w:rsidR="008969AB" w:rsidRPr="00AB0993" w:rsidRDefault="008969AB" w:rsidP="008969AB">
      <w:pPr>
        <w:pStyle w:val="BodyTextIndent"/>
        <w:spacing w:after="0"/>
        <w:ind w:left="0"/>
        <w:jc w:val="both"/>
        <w:rPr>
          <w:color w:val="0070C0"/>
          <w:sz w:val="4"/>
          <w:szCs w:val="4"/>
        </w:rPr>
      </w:pPr>
    </w:p>
    <w:p w14:paraId="485CEC0C" w14:textId="77777777" w:rsidR="008969AB" w:rsidRPr="00AB0993" w:rsidRDefault="008969AB" w:rsidP="008969AB">
      <w:pPr>
        <w:pStyle w:val="BodyTextIndent"/>
        <w:spacing w:after="0"/>
        <w:ind w:left="0"/>
        <w:jc w:val="center"/>
        <w:rPr>
          <w:b/>
          <w:color w:val="0070C0"/>
          <w:sz w:val="4"/>
          <w:szCs w:val="4"/>
          <w:u w:val="single"/>
        </w:rPr>
      </w:pPr>
    </w:p>
    <w:p w14:paraId="2FD85FF4" w14:textId="77777777" w:rsidR="008969AB" w:rsidRPr="00931F8E" w:rsidRDefault="008969AB" w:rsidP="008969AB">
      <w:pPr>
        <w:pStyle w:val="BodyTextIndent"/>
        <w:spacing w:after="0"/>
        <w:ind w:left="0"/>
        <w:jc w:val="center"/>
        <w:rPr>
          <w:b/>
          <w:u w:val="single"/>
        </w:rPr>
      </w:pPr>
      <w:r w:rsidRPr="00931F8E">
        <w:rPr>
          <w:b/>
          <w:u w:val="single"/>
        </w:rPr>
        <w:t xml:space="preserve">Разходи, трансфери за други бюджети и вноска в бюджета на ЕС </w:t>
      </w:r>
    </w:p>
    <w:p w14:paraId="1AE5D415" w14:textId="77777777" w:rsidR="008969AB" w:rsidRPr="00931F8E" w:rsidRDefault="008969AB" w:rsidP="008969AB">
      <w:pPr>
        <w:pStyle w:val="BodyTextIndent"/>
        <w:spacing w:after="0"/>
        <w:ind w:left="0"/>
        <w:jc w:val="center"/>
        <w:rPr>
          <w:b/>
          <w:u w:val="single"/>
        </w:rPr>
      </w:pPr>
      <w:r w:rsidRPr="00931F8E">
        <w:rPr>
          <w:b/>
          <w:u w:val="single"/>
        </w:rPr>
        <w:t>към март 2024 г. и 2025 г.</w:t>
      </w:r>
    </w:p>
    <w:p w14:paraId="7E05E532" w14:textId="77777777" w:rsidR="008969AB" w:rsidRPr="00931F8E" w:rsidRDefault="008969AB" w:rsidP="008969AB">
      <w:pPr>
        <w:pStyle w:val="BodyTextIndent"/>
        <w:spacing w:after="0"/>
        <w:ind w:left="0"/>
        <w:jc w:val="center"/>
        <w:rPr>
          <w:b/>
          <w:lang w:val="en-US"/>
        </w:rPr>
      </w:pPr>
      <w:r w:rsidRPr="00931F8E">
        <w:rPr>
          <w:b/>
          <w:lang w:val="en-US"/>
        </w:rPr>
        <w:t>(</w:t>
      </w:r>
      <w:r w:rsidRPr="00931F8E">
        <w:rPr>
          <w:b/>
        </w:rPr>
        <w:t xml:space="preserve">данните за </w:t>
      </w:r>
      <w:proofErr w:type="spellStart"/>
      <w:r w:rsidRPr="00931F8E">
        <w:rPr>
          <w:b/>
        </w:rPr>
        <w:t>кап</w:t>
      </w:r>
      <w:proofErr w:type="spellEnd"/>
      <w:r w:rsidRPr="00931F8E">
        <w:rPr>
          <w:b/>
        </w:rPr>
        <w:t>. разходи за 2024 г. са на съпоставима база</w:t>
      </w:r>
      <w:r w:rsidRPr="00931F8E">
        <w:rPr>
          <w:b/>
          <w:lang w:val="en-US"/>
        </w:rPr>
        <w:t>)</w:t>
      </w:r>
    </w:p>
    <w:p w14:paraId="43369883" w14:textId="77777777" w:rsidR="008969AB" w:rsidRPr="00AB0993" w:rsidRDefault="008969AB" w:rsidP="008969AB">
      <w:pPr>
        <w:pStyle w:val="BodyTextIndent"/>
        <w:spacing w:after="0"/>
        <w:ind w:left="0"/>
        <w:jc w:val="center"/>
        <w:rPr>
          <w:b/>
          <w:color w:val="0070C0"/>
          <w:u w:val="single"/>
          <w:lang w:val="en-US"/>
        </w:rPr>
      </w:pPr>
    </w:p>
    <w:p w14:paraId="2085C26B" w14:textId="77777777" w:rsidR="008969AB" w:rsidRPr="00AB0993" w:rsidRDefault="008969AB" w:rsidP="008969AB">
      <w:pPr>
        <w:pStyle w:val="BodyTextIndent"/>
        <w:spacing w:after="0"/>
        <w:ind w:left="0"/>
        <w:jc w:val="center"/>
        <w:rPr>
          <w:b/>
          <w:color w:val="0070C0"/>
          <w:u w:val="single"/>
        </w:rPr>
      </w:pPr>
      <w:r w:rsidRPr="00AB0993">
        <w:rPr>
          <w:noProof/>
          <w:color w:val="0070C0"/>
          <w:lang w:eastAsia="bg-BG"/>
        </w:rPr>
        <w:drawing>
          <wp:inline distT="0" distB="0" distL="0" distR="0" wp14:anchorId="06A0D2D0" wp14:editId="62C41781">
            <wp:extent cx="5579745" cy="2325600"/>
            <wp:effectExtent l="0" t="0" r="1905" b="17780"/>
            <wp:docPr id="7" name="Objec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6803AC4" w14:textId="77777777" w:rsidR="008969AB" w:rsidRPr="00AB0993" w:rsidRDefault="008969AB" w:rsidP="008969AB">
      <w:pPr>
        <w:pStyle w:val="BodyTextIndent"/>
        <w:spacing w:after="0"/>
        <w:ind w:left="0"/>
        <w:jc w:val="center"/>
        <w:rPr>
          <w:b/>
          <w:color w:val="0070C0"/>
          <w:sz w:val="8"/>
          <w:szCs w:val="8"/>
          <w:u w:val="single"/>
        </w:rPr>
      </w:pPr>
    </w:p>
    <w:p w14:paraId="405B5E60" w14:textId="77777777" w:rsidR="008969AB" w:rsidRPr="00931F8E" w:rsidRDefault="008969AB" w:rsidP="008969AB">
      <w:pPr>
        <w:ind w:firstLine="360"/>
        <w:rPr>
          <w:sz w:val="18"/>
          <w:szCs w:val="18"/>
        </w:rPr>
      </w:pPr>
      <w:bookmarkStart w:id="21" w:name="_MON_1562146415"/>
      <w:bookmarkStart w:id="22" w:name="_MON_1562146493"/>
      <w:bookmarkStart w:id="23" w:name="_MON_1562146700"/>
      <w:bookmarkStart w:id="24" w:name="_MON_1562146782"/>
      <w:bookmarkStart w:id="25" w:name="_MON_1562146967"/>
      <w:bookmarkStart w:id="26" w:name="_MON_1562147372"/>
      <w:bookmarkStart w:id="27" w:name="_MON_1562147473"/>
      <w:bookmarkStart w:id="28" w:name="_MON_1562147677"/>
      <w:bookmarkStart w:id="29" w:name="_MON_1562147743"/>
      <w:bookmarkStart w:id="30" w:name="_MON_1562147867"/>
      <w:bookmarkStart w:id="31" w:name="_MON_1562147934"/>
      <w:bookmarkStart w:id="32" w:name="_MON_1562148056"/>
      <w:bookmarkStart w:id="33" w:name="_MON_1562148171"/>
      <w:bookmarkStart w:id="34" w:name="_MON_1562148229"/>
      <w:bookmarkStart w:id="35" w:name="_MON_1562148307"/>
      <w:bookmarkStart w:id="36" w:name="_MON_1562148447"/>
      <w:bookmarkStart w:id="37" w:name="_MON_1562148558"/>
      <w:bookmarkStart w:id="38" w:name="_MON_1562152805"/>
      <w:bookmarkStart w:id="39" w:name="_MON_1562152984"/>
      <w:bookmarkStart w:id="40" w:name="_MON_1562153459"/>
      <w:bookmarkStart w:id="41" w:name="_MON_1562153503"/>
      <w:bookmarkStart w:id="42" w:name="_MON_1562153559"/>
      <w:bookmarkStart w:id="43" w:name="_MON_1562153646"/>
      <w:bookmarkStart w:id="44" w:name="_MON_1562153939"/>
      <w:bookmarkStart w:id="45" w:name="_MON_1562154053"/>
      <w:bookmarkStart w:id="46" w:name="_MON_1562154282"/>
      <w:bookmarkStart w:id="47" w:name="_MON_1562146286"/>
      <w:bookmarkStart w:id="48" w:name="_MON_1562154881"/>
      <w:bookmarkStart w:id="49" w:name="_MON_1562154973"/>
      <w:bookmarkStart w:id="50" w:name="_MON_1562155194"/>
      <w:bookmarkStart w:id="51" w:name="_MON_1562155231"/>
      <w:bookmarkStart w:id="52" w:name="_MON_1562155321"/>
      <w:bookmarkStart w:id="53" w:name="_MON_156215539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931F8E">
        <w:rPr>
          <w:sz w:val="18"/>
          <w:szCs w:val="18"/>
        </w:rPr>
        <w:t>*</w:t>
      </w:r>
      <w:r w:rsidRPr="00931F8E">
        <w:t xml:space="preserve"> </w:t>
      </w:r>
      <w:r w:rsidRPr="00931F8E">
        <w:rPr>
          <w:sz w:val="18"/>
          <w:szCs w:val="18"/>
        </w:rPr>
        <w:t>Вкл. нетния прираст на държавния резерв</w:t>
      </w:r>
    </w:p>
    <w:p w14:paraId="0C40554E" w14:textId="77777777" w:rsidR="008969AB" w:rsidRPr="00AB0993" w:rsidRDefault="008969AB" w:rsidP="008969AB">
      <w:pPr>
        <w:ind w:firstLine="360"/>
        <w:rPr>
          <w:color w:val="0070C0"/>
          <w:sz w:val="18"/>
          <w:szCs w:val="18"/>
        </w:rPr>
      </w:pPr>
    </w:p>
    <w:p w14:paraId="1B154F4E" w14:textId="77777777" w:rsidR="008969AB" w:rsidRPr="0055587F" w:rsidRDefault="008969AB" w:rsidP="008969AB">
      <w:pPr>
        <w:pStyle w:val="BodyTextIndent"/>
        <w:numPr>
          <w:ilvl w:val="0"/>
          <w:numId w:val="15"/>
        </w:numPr>
        <w:spacing w:before="120" w:after="0"/>
        <w:jc w:val="both"/>
        <w:rPr>
          <w:b/>
          <w:bCs/>
        </w:rPr>
      </w:pPr>
      <w:r w:rsidRPr="0055587F">
        <w:rPr>
          <w:b/>
          <w:bCs/>
        </w:rPr>
        <w:t>Нелихвени разходи</w:t>
      </w:r>
    </w:p>
    <w:p w14:paraId="1B901F22" w14:textId="77777777" w:rsidR="008969AB" w:rsidRPr="00AB0993" w:rsidRDefault="008969AB" w:rsidP="008969AB">
      <w:pPr>
        <w:spacing w:before="120"/>
        <w:jc w:val="both"/>
        <w:rPr>
          <w:bCs/>
          <w:color w:val="0070C0"/>
        </w:rPr>
      </w:pPr>
      <w:r w:rsidRPr="0055587F">
        <w:rPr>
          <w:b/>
          <w:bCs/>
        </w:rPr>
        <w:t>Нелихвените разходи</w:t>
      </w:r>
      <w:r w:rsidRPr="0055587F">
        <w:rPr>
          <w:bCs/>
        </w:rPr>
        <w:t xml:space="preserve"> по държавния бюджет към март 202</w:t>
      </w:r>
      <w:r w:rsidRPr="0055587F">
        <w:rPr>
          <w:bCs/>
          <w:lang w:val="ru-RU"/>
        </w:rPr>
        <w:t>5</w:t>
      </w:r>
      <w:r w:rsidRPr="0055587F">
        <w:rPr>
          <w:bCs/>
        </w:rPr>
        <w:t xml:space="preserve"> г.</w:t>
      </w:r>
      <w:r w:rsidRPr="0055587F">
        <w:t xml:space="preserve"> </w:t>
      </w:r>
      <w:r w:rsidRPr="0055587F">
        <w:rPr>
          <w:bCs/>
        </w:rPr>
        <w:t xml:space="preserve">са в размер на </w:t>
      </w:r>
      <w:r w:rsidRPr="0055587F">
        <w:rPr>
          <w:b/>
          <w:bCs/>
        </w:rPr>
        <w:t>4 121,4 млн. лв</w:t>
      </w:r>
      <w:r w:rsidRPr="0055587F">
        <w:rPr>
          <w:bCs/>
        </w:rPr>
        <w:t>.</w:t>
      </w:r>
      <w:r w:rsidRPr="0055587F">
        <w:rPr>
          <w:bCs/>
          <w:lang w:val="en-US"/>
        </w:rPr>
        <w:t xml:space="preserve"> </w:t>
      </w:r>
      <w:r w:rsidRPr="0055587F">
        <w:rPr>
          <w:bCs/>
        </w:rPr>
        <w:t>На съпоставима база нелихвените разходи по държавния бюджет към края на март 2024 г. са в размер на 3 933,3 млн. лв., като разходите за първите три месеца на 2025 г. нарастват номинално със 188,1</w:t>
      </w:r>
      <w:r w:rsidR="00263152">
        <w:rPr>
          <w:bCs/>
        </w:rPr>
        <w:t> </w:t>
      </w:r>
      <w:r w:rsidRPr="0055587F">
        <w:rPr>
          <w:bCs/>
        </w:rPr>
        <w:t>млн. лв. (</w:t>
      </w:r>
      <w:r>
        <w:rPr>
          <w:bCs/>
        </w:rPr>
        <w:t>4,8</w:t>
      </w:r>
      <w:r w:rsidRPr="0055587F">
        <w:rPr>
          <w:bCs/>
        </w:rPr>
        <w:t xml:space="preserve"> на сто), след елиминиране на трансакцията по чл. 71, ал.1 от Постановление №</w:t>
      </w:r>
      <w:r w:rsidR="00263152">
        <w:rPr>
          <w:bCs/>
        </w:rPr>
        <w:t> </w:t>
      </w:r>
      <w:r w:rsidRPr="0055587F">
        <w:rPr>
          <w:bCs/>
        </w:rPr>
        <w:t>13 на Министерския съвет от 2024 г.</w:t>
      </w:r>
    </w:p>
    <w:p w14:paraId="03070CE2" w14:textId="77777777" w:rsidR="008969AB" w:rsidRPr="00AB0993" w:rsidRDefault="008969AB" w:rsidP="008969AB">
      <w:pPr>
        <w:jc w:val="both"/>
        <w:rPr>
          <w:bCs/>
          <w:color w:val="0070C0"/>
        </w:rPr>
      </w:pPr>
      <w:r w:rsidRPr="003131EF">
        <w:rPr>
          <w:bCs/>
        </w:rPr>
        <w:t xml:space="preserve">Разходите за персонал (заплати и възнаграждения, други възнаграждения и плащания за персонала и осигурителни вноски) са в общ размер на 2 512,0 млн. лв. или 19,7 % от планираните за 2025 г. и ръст от </w:t>
      </w:r>
      <w:r w:rsidRPr="003131EF">
        <w:rPr>
          <w:bCs/>
          <w:lang w:val="ru-RU"/>
        </w:rPr>
        <w:t>235,7</w:t>
      </w:r>
      <w:r w:rsidRPr="003131EF">
        <w:rPr>
          <w:bCs/>
        </w:rPr>
        <w:t xml:space="preserve"> млн. лв. (10,4 %) спрямо същия период на предходната </w:t>
      </w:r>
      <w:r w:rsidRPr="00436E43">
        <w:rPr>
          <w:bCs/>
        </w:rPr>
        <w:t>година. Разходите за издръжка (вкл. разходи за членски внос и участие в нетърговски организации и дейности и платени данъци, такси и административни санкции) са в размер на 617,7 млн. лв. или 11,4 % от планираните за годината и ръст от 13,1 млн. лв. (</w:t>
      </w:r>
      <w:r>
        <w:rPr>
          <w:bCs/>
          <w:lang w:val="en-US"/>
        </w:rPr>
        <w:t>2</w:t>
      </w:r>
      <w:r>
        <w:rPr>
          <w:bCs/>
        </w:rPr>
        <w:t>,2</w:t>
      </w:r>
      <w:r w:rsidRPr="00436E43">
        <w:rPr>
          <w:bCs/>
        </w:rPr>
        <w:t xml:space="preserve"> %) спрямо </w:t>
      </w:r>
      <w:r w:rsidRPr="00480666">
        <w:rPr>
          <w:bCs/>
        </w:rPr>
        <w:t xml:space="preserve">същия период на предходната година. Социалните разходи (вкл. разходите за стипендии) са в размер на 434,7 млн. лв. или 12,8 % от предвидените </w:t>
      </w:r>
      <w:r w:rsidRPr="00480666">
        <w:t>за годината</w:t>
      </w:r>
      <w:r w:rsidRPr="00480666">
        <w:rPr>
          <w:bCs/>
        </w:rPr>
        <w:t xml:space="preserve"> като нарастват с 54,2 млн. </w:t>
      </w:r>
      <w:r w:rsidRPr="00116D8F">
        <w:rPr>
          <w:bCs/>
        </w:rPr>
        <w:t>лв. (14,2 %) спрямо същия период на предходната година.</w:t>
      </w:r>
      <w:r w:rsidRPr="00116D8F">
        <w:rPr>
          <w:bCs/>
          <w:lang w:val="en-US"/>
        </w:rPr>
        <w:t xml:space="preserve"> </w:t>
      </w:r>
      <w:r w:rsidRPr="00116D8F">
        <w:t>Част от планираните социални разходи по държавния бюджет се предоставят като трансфери за общинските бюджети.</w:t>
      </w:r>
      <w:r w:rsidRPr="00116D8F">
        <w:rPr>
          <w:bCs/>
        </w:rPr>
        <w:t xml:space="preserve"> Разходите за субсидии са в размер на 324,3 млн. лв. или 15,1 % спрямо планираните за годината и са с 52,8 млн. лв. </w:t>
      </w:r>
      <w:r w:rsidRPr="00116D8F">
        <w:rPr>
          <w:bCs/>
          <w:lang w:val="ru-RU"/>
        </w:rPr>
        <w:t>(14,0</w:t>
      </w:r>
      <w:r w:rsidRPr="00116D8F">
        <w:rPr>
          <w:bCs/>
        </w:rPr>
        <w:t xml:space="preserve"> %</w:t>
      </w:r>
      <w:r w:rsidRPr="00116D8F">
        <w:rPr>
          <w:bCs/>
          <w:lang w:val="ru-RU"/>
        </w:rPr>
        <w:t xml:space="preserve">) по-малко, съпоставени със същия период на </w:t>
      </w:r>
      <w:r w:rsidRPr="00CD476C">
        <w:rPr>
          <w:bCs/>
          <w:lang w:val="ru-RU"/>
        </w:rPr>
        <w:t xml:space="preserve">предходната година. </w:t>
      </w:r>
      <w:r w:rsidRPr="00CD476C">
        <w:rPr>
          <w:bCs/>
        </w:rPr>
        <w:t xml:space="preserve">Към март 2025 г. субсидиите за „БДЖ – Пътнически превози” ЕООД са в размер на </w:t>
      </w:r>
      <w:r w:rsidRPr="00CD476C">
        <w:rPr>
          <w:bCs/>
          <w:lang w:val="ru-RU"/>
        </w:rPr>
        <w:t>52,0</w:t>
      </w:r>
      <w:r w:rsidRPr="00CD476C">
        <w:rPr>
          <w:bCs/>
        </w:rPr>
        <w:t xml:space="preserve"> млн. лв., субсидиите за Национална компания „Железопътна </w:t>
      </w:r>
      <w:r w:rsidRPr="00753166">
        <w:rPr>
          <w:bCs/>
        </w:rPr>
        <w:t xml:space="preserve">инфраструктура” са 75,3 млн. лв. и 14,2 млн. лв. са за „Български пощи” ЕАД, в т. ч. 7,1 млн. лв. за извършване на универсална пощенска услуга, 6,8 млн. лв. за разпространение на периодични печатни издания - вестници и списания и 0,4 млн. лв. за предоставяне на административни услуги. </w:t>
      </w:r>
      <w:r w:rsidRPr="001F2483">
        <w:rPr>
          <w:bCs/>
        </w:rPr>
        <w:t xml:space="preserve">За отчетния период субсидиите за „България </w:t>
      </w:r>
      <w:proofErr w:type="spellStart"/>
      <w:r w:rsidRPr="001F2483">
        <w:rPr>
          <w:bCs/>
        </w:rPr>
        <w:t>Хели</w:t>
      </w:r>
      <w:proofErr w:type="spellEnd"/>
      <w:r w:rsidRPr="001F2483">
        <w:rPr>
          <w:bCs/>
        </w:rPr>
        <w:t xml:space="preserve"> Мед </w:t>
      </w:r>
      <w:proofErr w:type="spellStart"/>
      <w:r w:rsidRPr="001F2483">
        <w:rPr>
          <w:bCs/>
        </w:rPr>
        <w:t>Сървиз</w:t>
      </w:r>
      <w:proofErr w:type="spellEnd"/>
      <w:r w:rsidRPr="001F2483">
        <w:rPr>
          <w:bCs/>
        </w:rPr>
        <w:t xml:space="preserve">“ </w:t>
      </w:r>
      <w:r w:rsidRPr="001F2483">
        <w:rPr>
          <w:bCs/>
          <w:lang w:val="ru-RU"/>
        </w:rPr>
        <w:t>(</w:t>
      </w:r>
      <w:r w:rsidRPr="001F2483">
        <w:rPr>
          <w:bCs/>
        </w:rPr>
        <w:t>център за спешна медицинска помощ по въздуха</w:t>
      </w:r>
      <w:r w:rsidRPr="001F2483">
        <w:rPr>
          <w:bCs/>
          <w:lang w:val="ru-RU"/>
        </w:rPr>
        <w:t xml:space="preserve">) </w:t>
      </w:r>
      <w:r w:rsidRPr="001F2483">
        <w:rPr>
          <w:bCs/>
        </w:rPr>
        <w:t>са в размер на 1,</w:t>
      </w:r>
      <w:r>
        <w:rPr>
          <w:bCs/>
        </w:rPr>
        <w:t>5</w:t>
      </w:r>
      <w:r w:rsidRPr="001F2483">
        <w:rPr>
          <w:bCs/>
        </w:rPr>
        <w:t xml:space="preserve"> млн. лв. </w:t>
      </w:r>
      <w:r w:rsidRPr="000D2F84">
        <w:rPr>
          <w:bCs/>
        </w:rPr>
        <w:t xml:space="preserve">Към месец март 2025 г. ДФ „Земеделие“ e изплатил субсидии в общ размер на 75,1 млн. лв., от които 0,6 млн. лв. държавна помощ; 70,6 млн. лв. преходна национална помощ за тютюн и 3,8 млн. лв. средства за ДДС по схеми „Училищен плод“ и „Училищно мляко“. </w:t>
      </w:r>
    </w:p>
    <w:p w14:paraId="4085F00D" w14:textId="77777777" w:rsidR="008969AB" w:rsidRDefault="008969AB" w:rsidP="008969AB">
      <w:pPr>
        <w:spacing w:before="120" w:after="120"/>
        <w:jc w:val="both"/>
        <w:rPr>
          <w:bCs/>
        </w:rPr>
      </w:pPr>
      <w:r w:rsidRPr="00680672">
        <w:rPr>
          <w:bCs/>
          <w:i/>
        </w:rPr>
        <w:t>Капиталовите разходи</w:t>
      </w:r>
      <w:r w:rsidRPr="00680672">
        <w:rPr>
          <w:bCs/>
        </w:rPr>
        <w:t xml:space="preserve"> (вкл. нетния прираст на държавния резерв) по държавния бюджет възлизат на 231,2 млн. лв.</w:t>
      </w:r>
    </w:p>
    <w:p w14:paraId="6D56F42B" w14:textId="77777777" w:rsidR="008969AB" w:rsidRPr="00BF02E9" w:rsidRDefault="008969AB" w:rsidP="008969AB">
      <w:pPr>
        <w:numPr>
          <w:ilvl w:val="0"/>
          <w:numId w:val="6"/>
        </w:numPr>
        <w:spacing w:after="120"/>
        <w:ind w:left="0" w:firstLine="360"/>
        <w:jc w:val="both"/>
        <w:rPr>
          <w:b/>
        </w:rPr>
      </w:pPr>
      <w:r w:rsidRPr="00BF02E9">
        <w:rPr>
          <w:b/>
        </w:rPr>
        <w:t xml:space="preserve">Разходи за лихви </w:t>
      </w:r>
    </w:p>
    <w:p w14:paraId="3BE21779" w14:textId="77777777" w:rsidR="008969AB" w:rsidRPr="0054408E" w:rsidRDefault="008969AB" w:rsidP="008969AB">
      <w:pPr>
        <w:spacing w:after="60"/>
        <w:jc w:val="both"/>
      </w:pPr>
      <w:r w:rsidRPr="0054408E">
        <w:rPr>
          <w:b/>
        </w:rPr>
        <w:t xml:space="preserve">Лихвените плащания </w:t>
      </w:r>
      <w:r w:rsidRPr="0054408E">
        <w:t xml:space="preserve">по държавния бюджет към </w:t>
      </w:r>
      <w:r w:rsidRPr="0054408E">
        <w:rPr>
          <w:lang w:val="ru-RU"/>
        </w:rPr>
        <w:t>31.03.2025</w:t>
      </w:r>
      <w:r w:rsidRPr="0054408E">
        <w:t xml:space="preserve"> г. са в общ размер на </w:t>
      </w:r>
      <w:r w:rsidRPr="0054408E">
        <w:rPr>
          <w:b/>
        </w:rPr>
        <w:t>396,6 млн. лв</w:t>
      </w:r>
      <w:r w:rsidRPr="0054408E">
        <w:t>. или 25,3 % от предвидените в годишните разчети.</w:t>
      </w:r>
    </w:p>
    <w:p w14:paraId="6BAB4E8D" w14:textId="77777777" w:rsidR="008969AB" w:rsidRPr="00AB0993" w:rsidRDefault="008969AB" w:rsidP="008969AB">
      <w:pPr>
        <w:spacing w:after="120"/>
        <w:jc w:val="both"/>
        <w:rPr>
          <w:color w:val="0070C0"/>
        </w:rPr>
      </w:pPr>
      <w:r w:rsidRPr="0085506C">
        <w:t xml:space="preserve">Разходите за </w:t>
      </w:r>
      <w:r w:rsidRPr="0085506C">
        <w:rPr>
          <w:b/>
        </w:rPr>
        <w:t>лихви по външни заеми</w:t>
      </w:r>
      <w:r w:rsidRPr="0085506C">
        <w:t xml:space="preserve"> са в </w:t>
      </w:r>
      <w:r w:rsidRPr="002F7BC0">
        <w:t xml:space="preserve">размер на </w:t>
      </w:r>
      <w:r w:rsidRPr="002F7BC0">
        <w:rPr>
          <w:lang w:val="ru-RU"/>
        </w:rPr>
        <w:t>363,7</w:t>
      </w:r>
      <w:r w:rsidRPr="0085506C">
        <w:rPr>
          <w:lang w:val="ru-RU"/>
        </w:rPr>
        <w:t xml:space="preserve"> </w:t>
      </w:r>
      <w:r w:rsidRPr="0085506C">
        <w:t>млн. лв., в т.ч</w:t>
      </w:r>
      <w:r w:rsidRPr="009D2A27">
        <w:t>. 358,6 млн</w:t>
      </w:r>
      <w:r w:rsidRPr="0085506C">
        <w:t xml:space="preserve">. лв. по централния бюджет, </w:t>
      </w:r>
      <w:r w:rsidRPr="00BF02E9">
        <w:t>като само през март са изплатени лихви в размер на 225,7 млн. лв. по емитирани облигации на международните капиталови пазари</w:t>
      </w:r>
      <w:r>
        <w:t xml:space="preserve"> </w:t>
      </w:r>
      <w:r>
        <w:rPr>
          <w:lang w:val="en-US"/>
        </w:rPr>
        <w:t>(</w:t>
      </w:r>
      <w:r>
        <w:t>МКП</w:t>
      </w:r>
      <w:r>
        <w:rPr>
          <w:lang w:val="en-US"/>
        </w:rPr>
        <w:t>)</w:t>
      </w:r>
      <w:r w:rsidRPr="00161837">
        <w:t xml:space="preserve">. По ДИЗ, управлявани от министерства и ведомства са изплатени </w:t>
      </w:r>
      <w:r w:rsidRPr="00A719ED">
        <w:t>5,2</w:t>
      </w:r>
      <w:r w:rsidRPr="00161837">
        <w:t> млн. лв. (</w:t>
      </w:r>
      <w:r w:rsidRPr="00A82EEE">
        <w:t>по ДИЗ с краен бенефициент - търговско дружество няма извършени плащания</w:t>
      </w:r>
      <w:r w:rsidRPr="00161837">
        <w:t>)</w:t>
      </w:r>
      <w:r>
        <w:t>.</w:t>
      </w:r>
    </w:p>
    <w:p w14:paraId="25F17002" w14:textId="77777777" w:rsidR="008969AB" w:rsidRPr="00BF02E9" w:rsidRDefault="008969AB" w:rsidP="008969AB">
      <w:pPr>
        <w:spacing w:after="120"/>
        <w:jc w:val="both"/>
        <w:rPr>
          <w:b/>
        </w:rPr>
      </w:pPr>
      <w:r w:rsidRPr="00BF02E9">
        <w:t>През отчетния период не са използвани средства за покриване на риска от активиране на държавни гаранции.</w:t>
      </w:r>
      <w:r w:rsidRPr="00BF02E9">
        <w:rPr>
          <w:b/>
        </w:rPr>
        <w:t xml:space="preserve"> </w:t>
      </w:r>
    </w:p>
    <w:p w14:paraId="3A62CF13" w14:textId="77777777" w:rsidR="008969AB" w:rsidRPr="00CB2979" w:rsidRDefault="008969AB" w:rsidP="008969AB">
      <w:pPr>
        <w:spacing w:after="60"/>
        <w:jc w:val="both"/>
        <w:rPr>
          <w:color w:val="0070C0"/>
        </w:rPr>
      </w:pPr>
      <w:r w:rsidRPr="00CB2979">
        <w:rPr>
          <w:b/>
        </w:rPr>
        <w:t>Лихвите по вътрешни заеми</w:t>
      </w:r>
      <w:r w:rsidRPr="00CB2979">
        <w:t xml:space="preserve"> по държавния бюджет </w:t>
      </w:r>
      <w:r w:rsidRPr="00CB2979">
        <w:rPr>
          <w:bCs/>
        </w:rPr>
        <w:t>към март 2025 г.</w:t>
      </w:r>
      <w:r w:rsidRPr="00CB2979">
        <w:t xml:space="preserve"> са в размер на </w:t>
      </w:r>
      <w:r w:rsidRPr="002F7BC0">
        <w:rPr>
          <w:b/>
        </w:rPr>
        <w:t>32,9 млн. лв</w:t>
      </w:r>
      <w:r w:rsidRPr="00CB2979">
        <w:rPr>
          <w:b/>
        </w:rPr>
        <w:t>.</w:t>
      </w:r>
      <w:r w:rsidRPr="00CB2979">
        <w:t xml:space="preserve"> Платените лихви по ДЦК са в размер на 31,8 млн. лв., 1,2 млн. лв. са платените отстъпки, а реализираните при аукционите премии над номинала от емисии на ДЦК (отчетени в намаление на разходите за лихви по вътрешния дълг) възлизат на </w:t>
      </w:r>
      <w:r w:rsidRPr="00081A6F">
        <w:t>(-0,06) млн. лв.</w:t>
      </w:r>
      <w:r w:rsidRPr="00CB2979">
        <w:rPr>
          <w:color w:val="0070C0"/>
        </w:rPr>
        <w:t xml:space="preserve"> </w:t>
      </w:r>
    </w:p>
    <w:p w14:paraId="7BAED747" w14:textId="77777777" w:rsidR="008969AB" w:rsidRPr="00672DA1" w:rsidRDefault="008969AB" w:rsidP="008969AB">
      <w:pPr>
        <w:pStyle w:val="ListParagraph"/>
        <w:numPr>
          <w:ilvl w:val="0"/>
          <w:numId w:val="41"/>
        </w:numPr>
        <w:tabs>
          <w:tab w:val="left" w:pos="426"/>
        </w:tabs>
        <w:spacing w:before="120" w:after="60" w:line="240" w:lineRule="auto"/>
        <w:ind w:left="0" w:firstLine="0"/>
        <w:contextualSpacing w:val="0"/>
        <w:rPr>
          <w:rFonts w:ascii="Times New Roman" w:hAnsi="Times New Roman"/>
          <w:b/>
          <w:bCs/>
        </w:rPr>
      </w:pPr>
      <w:r w:rsidRPr="00672DA1">
        <w:rPr>
          <w:rFonts w:ascii="Times New Roman" w:hAnsi="Times New Roman"/>
          <w:b/>
          <w:bCs/>
        </w:rPr>
        <w:t>Нетният размер на трансферите по държавния бюджет</w:t>
      </w:r>
      <w:r w:rsidRPr="00672DA1">
        <w:rPr>
          <w:rFonts w:ascii="Times New Roman" w:hAnsi="Times New Roman"/>
          <w:bCs/>
        </w:rPr>
        <w:t xml:space="preserve">  към март 2025 г. е</w:t>
      </w:r>
      <w:r w:rsidRPr="00672DA1">
        <w:rPr>
          <w:rFonts w:ascii="Times New Roman" w:hAnsi="Times New Roman"/>
          <w:b/>
          <w:bCs/>
        </w:rPr>
        <w:t xml:space="preserve"> 7 333,0</w:t>
      </w:r>
      <w:r w:rsidRPr="00672DA1">
        <w:rPr>
          <w:rFonts w:ascii="Times New Roman" w:eastAsia="Calibri" w:hAnsi="Times New Roman"/>
          <w:b/>
        </w:rPr>
        <w:t> </w:t>
      </w:r>
      <w:r w:rsidRPr="00672DA1">
        <w:rPr>
          <w:rFonts w:ascii="Times New Roman" w:hAnsi="Times New Roman"/>
          <w:b/>
          <w:bCs/>
        </w:rPr>
        <w:t xml:space="preserve">млн. лв.,  </w:t>
      </w:r>
      <w:r w:rsidRPr="00672DA1">
        <w:rPr>
          <w:rFonts w:ascii="Times New Roman" w:hAnsi="Times New Roman"/>
          <w:bCs/>
        </w:rPr>
        <w:t>в т.ч.:</w:t>
      </w:r>
      <w:r w:rsidRPr="00672DA1">
        <w:rPr>
          <w:rFonts w:ascii="Times New Roman" w:hAnsi="Times New Roman"/>
          <w:b/>
          <w:bCs/>
        </w:rPr>
        <w:t xml:space="preserve"> </w:t>
      </w:r>
    </w:p>
    <w:p w14:paraId="7D85B4A7" w14:textId="77777777" w:rsidR="008969AB" w:rsidRPr="00305232" w:rsidRDefault="008969AB" w:rsidP="008969AB">
      <w:pPr>
        <w:numPr>
          <w:ilvl w:val="0"/>
          <w:numId w:val="16"/>
        </w:numPr>
        <w:tabs>
          <w:tab w:val="clear" w:pos="700"/>
          <w:tab w:val="left" w:pos="180"/>
          <w:tab w:val="num" w:pos="540"/>
          <w:tab w:val="num" w:pos="1495"/>
          <w:tab w:val="num" w:pos="9858"/>
        </w:tabs>
        <w:ind w:left="538" w:hanging="357"/>
        <w:jc w:val="both"/>
      </w:pPr>
      <w:r w:rsidRPr="00267E32">
        <w:t xml:space="preserve">бюджетните  взаимоотношения  с  общините  включват  нето трансфери  и временни безлихвени заеми в  размер  на </w:t>
      </w:r>
      <w:r w:rsidRPr="00267E32">
        <w:rPr>
          <w:lang w:val="ru-RU"/>
        </w:rPr>
        <w:t>2 708,4</w:t>
      </w:r>
      <w:r w:rsidRPr="00267E32">
        <w:t xml:space="preserve"> млн. лв.,</w:t>
      </w:r>
      <w:r w:rsidRPr="00267E32">
        <w:rPr>
          <w:lang w:val="ru-RU"/>
        </w:rPr>
        <w:t xml:space="preserve"> </w:t>
      </w:r>
      <w:r w:rsidRPr="00267E32">
        <w:t xml:space="preserve">от които субсидии от централния бюджет в размер на 2 319,3 млн. лв., други целеви трансфери от централния бюджет в размер на 45,9 млн. лв., нетни трансфери от/за други бюджети в размер на 360,8 млн. лв. </w:t>
      </w:r>
      <w:r w:rsidRPr="00305232">
        <w:t>и възстановени трансфери от предходни години в централния бюджет – 17,6 млн. лева;</w:t>
      </w:r>
    </w:p>
    <w:p w14:paraId="0D70603C" w14:textId="77777777" w:rsidR="008969AB" w:rsidRPr="00941CEA" w:rsidRDefault="008969AB" w:rsidP="008969AB">
      <w:pPr>
        <w:numPr>
          <w:ilvl w:val="0"/>
          <w:numId w:val="16"/>
        </w:numPr>
        <w:tabs>
          <w:tab w:val="clear" w:pos="700"/>
          <w:tab w:val="left" w:pos="180"/>
          <w:tab w:val="num" w:pos="540"/>
          <w:tab w:val="num" w:pos="1495"/>
          <w:tab w:val="num" w:pos="9858"/>
        </w:tabs>
        <w:ind w:left="538" w:hanging="357"/>
        <w:jc w:val="both"/>
      </w:pPr>
      <w:r w:rsidRPr="00941CEA">
        <w:t>на социалноосигурителните фондове (нето) – 3 835,8 млн. лв.;</w:t>
      </w:r>
    </w:p>
    <w:p w14:paraId="2B289120" w14:textId="77777777" w:rsidR="008969AB" w:rsidRPr="00A24A6D" w:rsidRDefault="008969AB" w:rsidP="008969AB">
      <w:pPr>
        <w:numPr>
          <w:ilvl w:val="0"/>
          <w:numId w:val="16"/>
        </w:numPr>
        <w:tabs>
          <w:tab w:val="clear" w:pos="700"/>
          <w:tab w:val="left" w:pos="180"/>
          <w:tab w:val="num" w:pos="540"/>
          <w:tab w:val="num" w:pos="1495"/>
          <w:tab w:val="num" w:pos="9858"/>
        </w:tabs>
        <w:ind w:left="538" w:hanging="357"/>
        <w:jc w:val="both"/>
      </w:pPr>
      <w:r w:rsidRPr="00A24A6D">
        <w:t xml:space="preserve">на други автономни бюджети (ДВУ, БАН, ССА, БНТ, БНР и БТА) – 402,0 млн. лв.; </w:t>
      </w:r>
    </w:p>
    <w:p w14:paraId="4E543C5C" w14:textId="77777777" w:rsidR="008969AB" w:rsidRPr="00A24A6D" w:rsidRDefault="008969AB" w:rsidP="008969AB">
      <w:pPr>
        <w:numPr>
          <w:ilvl w:val="0"/>
          <w:numId w:val="16"/>
        </w:numPr>
        <w:tabs>
          <w:tab w:val="clear" w:pos="700"/>
          <w:tab w:val="left" w:pos="180"/>
          <w:tab w:val="num" w:pos="540"/>
          <w:tab w:val="num" w:pos="1495"/>
          <w:tab w:val="num" w:pos="9858"/>
        </w:tabs>
        <w:ind w:left="538" w:hanging="357"/>
        <w:jc w:val="both"/>
      </w:pPr>
      <w:r w:rsidRPr="00A24A6D">
        <w:t xml:space="preserve">на Фонд „Сигурност на електроенергийната система“ и сметки за средства от ЕС – </w:t>
      </w:r>
      <w:r w:rsidRPr="00A24A6D">
        <w:rPr>
          <w:lang w:val="en-US"/>
        </w:rPr>
        <w:t>375</w:t>
      </w:r>
      <w:r w:rsidRPr="00A24A6D">
        <w:t>,1 млн. лева.</w:t>
      </w:r>
    </w:p>
    <w:p w14:paraId="109C770F" w14:textId="77777777" w:rsidR="008969AB" w:rsidRPr="0018055E" w:rsidRDefault="008969AB" w:rsidP="008969AB">
      <w:pPr>
        <w:numPr>
          <w:ilvl w:val="0"/>
          <w:numId w:val="5"/>
        </w:numPr>
        <w:tabs>
          <w:tab w:val="clear" w:pos="7650"/>
          <w:tab w:val="left" w:pos="426"/>
        </w:tabs>
        <w:spacing w:before="120"/>
        <w:ind w:left="0" w:firstLine="0"/>
        <w:jc w:val="both"/>
        <w:rPr>
          <w:bCs/>
        </w:rPr>
      </w:pPr>
      <w:r w:rsidRPr="0018055E">
        <w:t>Частта от</w:t>
      </w:r>
      <w:r w:rsidRPr="0018055E">
        <w:rPr>
          <w:b/>
        </w:rPr>
        <w:t xml:space="preserve"> вноската на Република България в общия бюджет на ЕС, </w:t>
      </w:r>
      <w:r w:rsidRPr="0018055E">
        <w:t>изплатена към 31.03.2025 г. от централния бюджет, възлиза на</w:t>
      </w:r>
      <w:r w:rsidRPr="0018055E">
        <w:rPr>
          <w:b/>
        </w:rPr>
        <w:t xml:space="preserve"> 508,3 млн. лева.</w:t>
      </w:r>
      <w:r w:rsidRPr="0018055E">
        <w:t xml:space="preserve"> </w:t>
      </w:r>
    </w:p>
    <w:p w14:paraId="5D90218F" w14:textId="77777777" w:rsidR="008969AB" w:rsidRPr="004A28DD" w:rsidRDefault="008969AB" w:rsidP="008969AB">
      <w:pPr>
        <w:numPr>
          <w:ilvl w:val="0"/>
          <w:numId w:val="5"/>
        </w:numPr>
        <w:tabs>
          <w:tab w:val="clear" w:pos="7650"/>
          <w:tab w:val="num" w:pos="426"/>
        </w:tabs>
        <w:spacing w:before="240" w:after="240"/>
        <w:ind w:left="0" w:firstLine="0"/>
        <w:jc w:val="both"/>
        <w:rPr>
          <w:sz w:val="16"/>
          <w:szCs w:val="16"/>
        </w:rPr>
      </w:pPr>
      <w:r w:rsidRPr="004A28DD">
        <w:rPr>
          <w:b/>
        </w:rPr>
        <w:t>Бюджетното салдо по държавния бюджет</w:t>
      </w:r>
      <w:r w:rsidRPr="004A28DD">
        <w:t xml:space="preserve"> към </w:t>
      </w:r>
      <w:r w:rsidRPr="004A28DD">
        <w:rPr>
          <w:lang w:val="ru-RU"/>
        </w:rPr>
        <w:t>31.03.2025</w:t>
      </w:r>
      <w:r w:rsidRPr="004A28DD">
        <w:t xml:space="preserve"> г. </w:t>
      </w:r>
      <w:r w:rsidRPr="004A28DD">
        <w:rPr>
          <w:b/>
        </w:rPr>
        <w:t>е отрицателно</w:t>
      </w:r>
      <w:r w:rsidRPr="004A28DD">
        <w:t xml:space="preserve"> в размер на </w:t>
      </w:r>
      <w:r w:rsidRPr="004A28DD">
        <w:rPr>
          <w:b/>
        </w:rPr>
        <w:t>2 665,2 млн. лева</w:t>
      </w:r>
      <w:r w:rsidRPr="004A28DD">
        <w:t xml:space="preserve">. </w:t>
      </w:r>
    </w:p>
    <w:p w14:paraId="7D64641B" w14:textId="77777777" w:rsidR="008969AB" w:rsidRPr="00675057" w:rsidRDefault="008969AB" w:rsidP="008969AB">
      <w:pPr>
        <w:numPr>
          <w:ilvl w:val="0"/>
          <w:numId w:val="5"/>
        </w:numPr>
        <w:tabs>
          <w:tab w:val="clear" w:pos="7650"/>
          <w:tab w:val="num" w:pos="426"/>
        </w:tabs>
        <w:spacing w:before="240" w:after="240"/>
        <w:ind w:left="0" w:firstLine="0"/>
        <w:jc w:val="both"/>
        <w:rPr>
          <w:b/>
        </w:rPr>
      </w:pPr>
      <w:r w:rsidRPr="00675057">
        <w:rPr>
          <w:b/>
        </w:rPr>
        <w:t>Финансиране на бюджета чрез операции по дълга</w:t>
      </w:r>
    </w:p>
    <w:p w14:paraId="0F615500" w14:textId="77777777" w:rsidR="008969AB" w:rsidRPr="00C02FEF" w:rsidRDefault="008969AB" w:rsidP="008969AB">
      <w:pPr>
        <w:spacing w:before="120" w:after="120"/>
        <w:jc w:val="both"/>
        <w:rPr>
          <w:lang w:val="ru-RU"/>
        </w:rPr>
      </w:pPr>
      <w:r w:rsidRPr="00C02FEF">
        <w:t>Към 31.03.2025 г. е реализирано положително нетно дългово финансиране на държавния бюджет в размер на 129,3 млн. лв., което се дължи на постъпленията от емисии на ДЦК на вътрешния пазар общо в размер на 994,0 млн. лв.</w:t>
      </w:r>
      <w:r>
        <w:t>,</w:t>
      </w:r>
      <w:r w:rsidRPr="00C02FEF">
        <w:t xml:space="preserve"> извършените погашения по държавния дълг в размер на 848,8 млн. лв.</w:t>
      </w:r>
      <w:r>
        <w:t xml:space="preserve"> </w:t>
      </w:r>
      <w:r w:rsidRPr="00F16894">
        <w:t>и погашенията по държавни инвестиционни заеми (ДИЗ), управлявани от министерства и ведомства в размер на 15,9 млн. лв.</w:t>
      </w:r>
    </w:p>
    <w:p w14:paraId="240697C6" w14:textId="77777777" w:rsidR="008969AB" w:rsidRPr="00AB0993" w:rsidRDefault="008969AB" w:rsidP="008969AB">
      <w:pPr>
        <w:tabs>
          <w:tab w:val="left" w:pos="567"/>
        </w:tabs>
        <w:spacing w:after="120"/>
        <w:jc w:val="both"/>
        <w:rPr>
          <w:color w:val="0070C0"/>
        </w:rPr>
      </w:pPr>
      <w:r w:rsidRPr="00AD422C">
        <w:t xml:space="preserve">Операции с </w:t>
      </w:r>
      <w:r w:rsidRPr="00AD422C">
        <w:rPr>
          <w:b/>
        </w:rPr>
        <w:t xml:space="preserve">държавни ценни книжа </w:t>
      </w:r>
      <w:r w:rsidRPr="00AD422C">
        <w:t xml:space="preserve">по централния бюджет </w:t>
      </w:r>
      <w:r w:rsidRPr="00AD422C">
        <w:rPr>
          <w:b/>
        </w:rPr>
        <w:t>(позиция във вътрешното финансиране):</w:t>
      </w:r>
      <w:r w:rsidRPr="00AD422C">
        <w:t xml:space="preserve"> Към 31.03.2025 г. е отчетено положително нетно вътрешно финансиране на държавния бюджет с ДЦК в размер на 145,2 млн. лв. Общият размер на </w:t>
      </w:r>
      <w:r w:rsidRPr="00EA474A">
        <w:rPr>
          <w:b/>
          <w:i/>
        </w:rPr>
        <w:t>постъпленията</w:t>
      </w:r>
      <w:r w:rsidRPr="00AD422C">
        <w:t xml:space="preserve"> от емисии на ДЦК на вътрешния пазар възлиза на 994,0 млн. лв. или са емитирани ДЦК на обща номинална стойност 1,0 млрд. лв., разпределени в две нови емисии от месец януари, като същите са </w:t>
      </w:r>
      <w:proofErr w:type="spellStart"/>
      <w:r w:rsidRPr="00AD422C">
        <w:t>преотворени</w:t>
      </w:r>
      <w:proofErr w:type="spellEnd"/>
      <w:r w:rsidRPr="00AD422C">
        <w:t xml:space="preserve"> във  февруари и март както следва:</w:t>
      </w:r>
    </w:p>
    <w:p w14:paraId="2BF9584E" w14:textId="77777777" w:rsidR="008969AB" w:rsidRPr="00CD0FA9" w:rsidRDefault="008969AB" w:rsidP="008969AB">
      <w:pPr>
        <w:numPr>
          <w:ilvl w:val="0"/>
          <w:numId w:val="43"/>
        </w:numPr>
        <w:tabs>
          <w:tab w:val="left" w:pos="567"/>
        </w:tabs>
        <w:spacing w:after="120"/>
        <w:ind w:left="851" w:hanging="284"/>
        <w:jc w:val="both"/>
      </w:pPr>
      <w:r w:rsidRPr="00163B8C">
        <w:rPr>
          <w:b/>
          <w:i/>
        </w:rPr>
        <w:t>3-годишни ДЦК</w:t>
      </w:r>
      <w:r w:rsidRPr="00163B8C">
        <w:t xml:space="preserve"> </w:t>
      </w:r>
      <w:r w:rsidRPr="00163B8C">
        <w:rPr>
          <w:rFonts w:eastAsia="Calibri"/>
        </w:rPr>
        <w:t xml:space="preserve">(емисията е пусната в обращение на 22.01.2025 г., деноминирана е в лева, с падеж 22.01.2028 г. и годишен лихвен купон от 2.75%) с общ пласиран обем от 500,0 млн. лв., в т.ч. през януари 300 млн. лв., през февруари 100 млн. лв. и през </w:t>
      </w:r>
      <w:r w:rsidRPr="00CD0FA9">
        <w:rPr>
          <w:rFonts w:eastAsia="Calibri"/>
        </w:rPr>
        <w:t>март 100 млн. лв</w:t>
      </w:r>
      <w:r w:rsidRPr="00CD0FA9">
        <w:t>.</w:t>
      </w:r>
    </w:p>
    <w:p w14:paraId="17BD65DB" w14:textId="77777777" w:rsidR="008969AB" w:rsidRPr="00CD0FA9" w:rsidRDefault="008969AB" w:rsidP="008969AB">
      <w:pPr>
        <w:numPr>
          <w:ilvl w:val="0"/>
          <w:numId w:val="43"/>
        </w:numPr>
        <w:tabs>
          <w:tab w:val="left" w:pos="567"/>
        </w:tabs>
        <w:spacing w:after="120"/>
        <w:ind w:left="851" w:hanging="284"/>
        <w:jc w:val="both"/>
      </w:pPr>
      <w:r w:rsidRPr="00CD0FA9">
        <w:rPr>
          <w:rFonts w:eastAsia="Calibri"/>
          <w:b/>
          <w:i/>
        </w:rPr>
        <w:t>7-годишни ДЦК</w:t>
      </w:r>
      <w:r w:rsidRPr="00CD0FA9">
        <w:rPr>
          <w:rFonts w:eastAsia="Calibri"/>
        </w:rPr>
        <w:t xml:space="preserve"> (емисията е пусната</w:t>
      </w:r>
      <w:r w:rsidRPr="00CD0FA9">
        <w:rPr>
          <w:rFonts w:ascii="Calibri" w:eastAsia="Calibri" w:hAnsi="Calibri"/>
        </w:rPr>
        <w:t xml:space="preserve"> </w:t>
      </w:r>
      <w:r w:rsidRPr="00CD0FA9">
        <w:rPr>
          <w:rFonts w:eastAsia="Calibri"/>
        </w:rPr>
        <w:t>в обращение на 29.01.2025 г., деноминирана в лева, с падеж 29.01.2032 г.</w:t>
      </w:r>
      <w:r w:rsidRPr="00CD0FA9">
        <w:t xml:space="preserve"> и годишен лихвен купон от 3.25%</w:t>
      </w:r>
      <w:r w:rsidRPr="00CD0FA9">
        <w:rPr>
          <w:rFonts w:eastAsia="Calibri"/>
        </w:rPr>
        <w:t>) с общ пласиран обем от 500,0 млн. лв., в т.ч. през януари 300 млн. лв., през февруари 100 млн. лв. и през март 100 млн. лв</w:t>
      </w:r>
      <w:r w:rsidRPr="00CD0FA9">
        <w:t>.</w:t>
      </w:r>
    </w:p>
    <w:p w14:paraId="57F93AE7" w14:textId="44B18A00" w:rsidR="008969AB" w:rsidRDefault="008969AB" w:rsidP="008969AB">
      <w:pPr>
        <w:tabs>
          <w:tab w:val="left" w:pos="567"/>
        </w:tabs>
        <w:spacing w:after="120"/>
        <w:jc w:val="both"/>
        <w:rPr>
          <w:color w:val="0070C0"/>
        </w:rPr>
      </w:pPr>
      <w:r w:rsidRPr="00CD0FA9">
        <w:t xml:space="preserve">Отчетените </w:t>
      </w:r>
      <w:r w:rsidRPr="00CD0FA9">
        <w:rPr>
          <w:b/>
          <w:i/>
        </w:rPr>
        <w:t>погашения</w:t>
      </w:r>
      <w:r w:rsidRPr="00CD0FA9">
        <w:t xml:space="preserve"> в края на март 2025 г. </w:t>
      </w:r>
      <w:r w:rsidRPr="00CD0FA9">
        <w:rPr>
          <w:rFonts w:eastAsia="Calibri"/>
        </w:rPr>
        <w:t xml:space="preserve">са в размер на 848,8 млн. лв. като през месец </w:t>
      </w:r>
      <w:r w:rsidRPr="00BD12AC">
        <w:rPr>
          <w:rFonts w:eastAsia="Calibri"/>
        </w:rPr>
        <w:t>януари Министерството на финансите погаси емисия 5-годишни ДЦК от</w:t>
      </w:r>
      <w:r w:rsidR="00330207">
        <w:rPr>
          <w:rFonts w:eastAsia="Calibri"/>
        </w:rPr>
        <w:t xml:space="preserve"> </w:t>
      </w:r>
      <w:r w:rsidRPr="00BD12AC">
        <w:rPr>
          <w:rFonts w:eastAsia="Calibri"/>
        </w:rPr>
        <w:t>2020 г. в обем от 600,0 млн. лв. номинална стойност и през месец март емисия 8-годишни ДЦК от 2017 г. в обем от 250 млн. лв</w:t>
      </w:r>
      <w:r w:rsidRPr="00AB0993">
        <w:rPr>
          <w:color w:val="0070C0"/>
        </w:rPr>
        <w:t>.</w:t>
      </w:r>
    </w:p>
    <w:p w14:paraId="0F55A08A" w14:textId="77777777" w:rsidR="008969AB" w:rsidRDefault="008969AB" w:rsidP="008969AB">
      <w:pPr>
        <w:tabs>
          <w:tab w:val="left" w:pos="567"/>
        </w:tabs>
        <w:jc w:val="both"/>
        <w:rPr>
          <w:color w:val="0070C0"/>
        </w:rPr>
      </w:pPr>
      <w:r w:rsidRPr="00EC2A74">
        <w:t xml:space="preserve">Към 31.03.2025 г. е отчетено </w:t>
      </w:r>
      <w:r w:rsidRPr="00356095">
        <w:t xml:space="preserve">отрицателно нетно </w:t>
      </w:r>
      <w:r w:rsidRPr="00356095">
        <w:rPr>
          <w:b/>
        </w:rPr>
        <w:t>външно</w:t>
      </w:r>
      <w:r w:rsidRPr="00055FC4">
        <w:rPr>
          <w:b/>
        </w:rPr>
        <w:t xml:space="preserve"> финансиране</w:t>
      </w:r>
      <w:r w:rsidRPr="00EC2A74">
        <w:t xml:space="preserve"> в размер на </w:t>
      </w:r>
      <w:r>
        <w:t>15,9</w:t>
      </w:r>
      <w:r w:rsidRPr="00055FC4">
        <w:rPr>
          <w:lang w:val="en-US"/>
        </w:rPr>
        <w:t> </w:t>
      </w:r>
      <w:r w:rsidRPr="00055FC4">
        <w:t>млн.</w:t>
      </w:r>
      <w:r>
        <w:t> </w:t>
      </w:r>
      <w:r w:rsidRPr="00055FC4">
        <w:t>лв</w:t>
      </w:r>
      <w:r w:rsidRPr="00B10187">
        <w:t xml:space="preserve">. по </w:t>
      </w:r>
      <w:r w:rsidRPr="00B10187">
        <w:rPr>
          <w:b/>
        </w:rPr>
        <w:t xml:space="preserve">държавния бюджет. </w:t>
      </w:r>
      <w:r w:rsidRPr="00B10187">
        <w:t xml:space="preserve">Към месец март не са издавани еврооблигации на </w:t>
      </w:r>
      <w:r w:rsidRPr="00BF02E9">
        <w:t>МКП</w:t>
      </w:r>
      <w:r w:rsidRPr="00B10187">
        <w:t xml:space="preserve">, както и няма усвоявания на средства по държавни заеми. </w:t>
      </w:r>
      <w:r w:rsidRPr="00223C0B">
        <w:t>Не са извършени погашения по външния държавен дълг от централен бюджет</w:t>
      </w:r>
      <w:r>
        <w:t xml:space="preserve">. </w:t>
      </w:r>
    </w:p>
    <w:p w14:paraId="62FC81D5" w14:textId="77777777" w:rsidR="008969AB" w:rsidRPr="001C23CF" w:rsidRDefault="008969AB" w:rsidP="008969AB">
      <w:pPr>
        <w:spacing w:before="120"/>
        <w:jc w:val="both"/>
      </w:pPr>
      <w:r w:rsidRPr="00AB2831">
        <w:t xml:space="preserve">Погашенията по ДИЗ, управлявани от министерства и ведомства в края на </w:t>
      </w:r>
      <w:r>
        <w:t>март</w:t>
      </w:r>
      <w:r w:rsidRPr="00AB2831">
        <w:t xml:space="preserve"> са в размер на </w:t>
      </w:r>
      <w:r>
        <w:t>15,6</w:t>
      </w:r>
      <w:r w:rsidRPr="001C23CF">
        <w:t xml:space="preserve"> млн. лв. По заемите с краен бенефициент търговско дружество извършените погашения са в размер </w:t>
      </w:r>
      <w:r w:rsidRPr="008C6225">
        <w:t xml:space="preserve">на </w:t>
      </w:r>
      <w:r w:rsidRPr="008C6225">
        <w:rPr>
          <w:lang w:val="ru-RU"/>
        </w:rPr>
        <w:t>0,3</w:t>
      </w:r>
      <w:r w:rsidRPr="008C6225">
        <w:t xml:space="preserve"> млн. лева.</w:t>
      </w:r>
    </w:p>
    <w:p w14:paraId="0C0DAEF6" w14:textId="77777777" w:rsidR="008969AB" w:rsidRPr="00AB0993" w:rsidRDefault="008969AB" w:rsidP="008969AB">
      <w:pPr>
        <w:tabs>
          <w:tab w:val="left" w:pos="567"/>
        </w:tabs>
        <w:spacing w:before="120" w:after="240"/>
        <w:jc w:val="both"/>
        <w:rPr>
          <w:color w:val="0070C0"/>
        </w:rPr>
      </w:pPr>
      <w:r w:rsidRPr="001C23CF">
        <w:t>През отчетния период не са използвани средствата, предвидени</w:t>
      </w:r>
      <w:r w:rsidRPr="002529DD">
        <w:t xml:space="preserve"> в ЗДБРБ за</w:t>
      </w:r>
      <w:r>
        <w:t xml:space="preserve"> </w:t>
      </w:r>
      <w:r w:rsidRPr="002529DD">
        <w:t>202</w:t>
      </w:r>
      <w:r>
        <w:t>5</w:t>
      </w:r>
      <w:r w:rsidRPr="002529DD">
        <w:t xml:space="preserve"> г., за покриване на риска от активиране на държавни гаранции</w:t>
      </w:r>
      <w:r>
        <w:t>.</w:t>
      </w:r>
    </w:p>
    <w:p w14:paraId="03FDBA09" w14:textId="77777777" w:rsidR="008969AB" w:rsidRPr="00DD78F1" w:rsidRDefault="008969AB" w:rsidP="008969AB">
      <w:pPr>
        <w:pStyle w:val="BodyTextIndent"/>
        <w:numPr>
          <w:ilvl w:val="1"/>
          <w:numId w:val="8"/>
        </w:numPr>
        <w:tabs>
          <w:tab w:val="num" w:pos="900"/>
        </w:tabs>
        <w:spacing w:before="240" w:after="0"/>
        <w:ind w:left="714" w:hanging="357"/>
        <w:jc w:val="both"/>
        <w:rPr>
          <w:b/>
          <w:bCs/>
        </w:rPr>
      </w:pPr>
      <w:r w:rsidRPr="00DD78F1">
        <w:rPr>
          <w:b/>
          <w:bCs/>
        </w:rPr>
        <w:t>Разходи по централн</w:t>
      </w:r>
      <w:r w:rsidRPr="00DD78F1">
        <w:rPr>
          <w:b/>
          <w:bCs/>
          <w:szCs w:val="26"/>
        </w:rPr>
        <w:t xml:space="preserve">ия бюджет </w:t>
      </w:r>
      <w:r w:rsidRPr="00DD78F1">
        <w:rPr>
          <w:b/>
          <w:bCs/>
        </w:rPr>
        <w:t>за субсидии, капиталови трансфери</w:t>
      </w:r>
      <w:r w:rsidRPr="00DD78F1">
        <w:rPr>
          <w:bCs/>
        </w:rPr>
        <w:t xml:space="preserve"> </w:t>
      </w:r>
      <w:r w:rsidRPr="00DD78F1">
        <w:rPr>
          <w:b/>
          <w:bCs/>
        </w:rPr>
        <w:t xml:space="preserve">и други разходи, свързани с дейността на реалния сектор </w:t>
      </w:r>
    </w:p>
    <w:p w14:paraId="37D69442" w14:textId="77777777" w:rsidR="008969AB" w:rsidRPr="007F4EEF" w:rsidRDefault="008969AB" w:rsidP="008969AB">
      <w:pPr>
        <w:pStyle w:val="Header"/>
        <w:jc w:val="both"/>
        <w:rPr>
          <w:color w:val="0070C0"/>
          <w:sz w:val="8"/>
          <w:szCs w:val="8"/>
        </w:rPr>
      </w:pPr>
    </w:p>
    <w:p w14:paraId="3E02692A" w14:textId="77777777" w:rsidR="008969AB" w:rsidRPr="007F4EEF" w:rsidRDefault="008969AB" w:rsidP="008969AB">
      <w:pPr>
        <w:pStyle w:val="Header"/>
        <w:jc w:val="both"/>
        <w:rPr>
          <w:color w:val="0070C0"/>
          <w:sz w:val="4"/>
          <w:szCs w:val="4"/>
        </w:rPr>
      </w:pPr>
    </w:p>
    <w:p w14:paraId="7D894B24" w14:textId="77777777" w:rsidR="008969AB" w:rsidRPr="006E34A1" w:rsidRDefault="008969AB" w:rsidP="008969AB">
      <w:pPr>
        <w:pStyle w:val="BodyText2"/>
        <w:spacing w:before="120" w:after="0" w:line="240" w:lineRule="auto"/>
        <w:jc w:val="both"/>
      </w:pPr>
      <w:r w:rsidRPr="006E34A1">
        <w:t xml:space="preserve">Средствата за </w:t>
      </w:r>
      <w:r w:rsidRPr="006E34A1">
        <w:rPr>
          <w:bCs/>
        </w:rPr>
        <w:t>субсидии</w:t>
      </w:r>
      <w:r w:rsidRPr="006E34A1">
        <w:t xml:space="preserve"> са предназначени за търговски дружества, осъществяващи превоза на пътниците по нерентабилни автобусни линии във вътрешноградския транспорт и транспорта в планински и други райони. По своя характер те са обществени превозни услуги от общ икономически интерес и имат предимно социална насоченост – масови превози до и от работните места в рамките на града и превози до малки отдалечени селища, осигуряващи връзка с общинския център.</w:t>
      </w:r>
    </w:p>
    <w:p w14:paraId="1714B0F2" w14:textId="77777777" w:rsidR="006E34A1" w:rsidRPr="007F4EEF" w:rsidRDefault="006E34A1" w:rsidP="006E34A1">
      <w:pPr>
        <w:pStyle w:val="BodyText2"/>
        <w:spacing w:before="120" w:after="0" w:line="240" w:lineRule="auto"/>
        <w:jc w:val="both"/>
        <w:rPr>
          <w:color w:val="0070C0"/>
        </w:rPr>
      </w:pPr>
      <w:r w:rsidRPr="006E34A1">
        <w:t xml:space="preserve">За първо тримесечие на 2025 г. предоставените за тази цел средства са в размер на 28,0 млн. лв. </w:t>
      </w:r>
    </w:p>
    <w:p w14:paraId="0FD4F9FA" w14:textId="77777777" w:rsidR="008969AB" w:rsidRPr="000D08C2" w:rsidRDefault="008969AB" w:rsidP="008969AB">
      <w:pPr>
        <w:spacing w:before="120"/>
        <w:jc w:val="both"/>
      </w:pPr>
      <w:r w:rsidRPr="000D08C2">
        <w:t>За първото тримесечие на 2025 г.</w:t>
      </w:r>
      <w:r w:rsidRPr="000D08C2">
        <w:rPr>
          <w:i/>
        </w:rPr>
        <w:t xml:space="preserve"> </w:t>
      </w:r>
      <w:r w:rsidRPr="000D08C2">
        <w:t>от предвидените по централния бюджет</w:t>
      </w:r>
      <w:r w:rsidRPr="000D08C2">
        <w:rPr>
          <w:b/>
          <w:i/>
        </w:rPr>
        <w:t xml:space="preserve"> капиталови трансфери</w:t>
      </w:r>
      <w:r w:rsidRPr="000D08C2">
        <w:t xml:space="preserve"> за изпълнение на Програмите за отстраняване на нанесени щети </w:t>
      </w:r>
      <w:r w:rsidRPr="000D08C2">
        <w:rPr>
          <w:noProof/>
        </w:rPr>
        <w:t>върху околната среда</w:t>
      </w:r>
      <w:r w:rsidRPr="000D08C2">
        <w:t>, настъпили от минали действия или бездействия, при приватизация, не са изразходвани средства.</w:t>
      </w:r>
    </w:p>
    <w:p w14:paraId="788698ED" w14:textId="77777777" w:rsidR="008969AB" w:rsidRPr="00B743A0" w:rsidRDefault="008969AB" w:rsidP="008969AB">
      <w:pPr>
        <w:spacing w:after="120"/>
        <w:jc w:val="both"/>
        <w:rPr>
          <w:color w:val="0070C0"/>
          <w:sz w:val="8"/>
        </w:rPr>
      </w:pPr>
    </w:p>
    <w:p w14:paraId="5EA5A346" w14:textId="77777777" w:rsidR="008969AB" w:rsidRPr="00316081" w:rsidRDefault="008969AB" w:rsidP="001F52E5">
      <w:pPr>
        <w:pStyle w:val="BodyTextIndent"/>
        <w:numPr>
          <w:ilvl w:val="1"/>
          <w:numId w:val="8"/>
        </w:numPr>
        <w:tabs>
          <w:tab w:val="num" w:pos="900"/>
        </w:tabs>
        <w:spacing w:before="120" w:after="0"/>
        <w:ind w:left="714" w:hanging="357"/>
        <w:jc w:val="both"/>
        <w:rPr>
          <w:b/>
          <w:bCs/>
        </w:rPr>
      </w:pPr>
      <w:r w:rsidRPr="00316081">
        <w:rPr>
          <w:b/>
          <w:bCs/>
        </w:rPr>
        <w:t>Бюджет на съдебната власт</w:t>
      </w:r>
    </w:p>
    <w:p w14:paraId="137592EB" w14:textId="77777777" w:rsidR="008969AB" w:rsidRPr="00716094" w:rsidRDefault="008969AB" w:rsidP="008969AB">
      <w:pPr>
        <w:spacing w:before="120"/>
        <w:jc w:val="both"/>
        <w:rPr>
          <w:color w:val="0070C0"/>
        </w:rPr>
      </w:pPr>
      <w:r w:rsidRPr="0001564C">
        <w:t>За първото тримесечие на 202</w:t>
      </w:r>
      <w:r w:rsidRPr="0001564C">
        <w:rPr>
          <w:lang w:val="ru-RU"/>
        </w:rPr>
        <w:t>5</w:t>
      </w:r>
      <w:r w:rsidRPr="0001564C">
        <w:t xml:space="preserve"> г. по бюджета на съдебната власт са отчетени </w:t>
      </w:r>
      <w:r w:rsidRPr="0001564C">
        <w:rPr>
          <w:b/>
        </w:rPr>
        <w:t>приходи</w:t>
      </w:r>
      <w:r w:rsidRPr="0001564C">
        <w:t xml:space="preserve"> в размер на </w:t>
      </w:r>
      <w:r w:rsidRPr="0001564C">
        <w:rPr>
          <w:lang w:val="ru-RU"/>
        </w:rPr>
        <w:t>28,7</w:t>
      </w:r>
      <w:r w:rsidRPr="0001564C">
        <w:t xml:space="preserve"> млн. лв., от които 23,6 млн. лв. - приходи от съдебни такси. За сравнение, към 31.03.2024 г. </w:t>
      </w:r>
      <w:r w:rsidRPr="009C1192">
        <w:t>са отчетени общо приходи в размер на 27,5 млн. лв., от които 23,</w:t>
      </w:r>
      <w:r>
        <w:t>6</w:t>
      </w:r>
      <w:r w:rsidRPr="009C1192">
        <w:t xml:space="preserve"> млн. лв. - приходи от съдебни такси.</w:t>
      </w:r>
    </w:p>
    <w:p w14:paraId="2091F6B9" w14:textId="77777777" w:rsidR="008969AB" w:rsidRPr="00956422" w:rsidRDefault="008969AB" w:rsidP="008969AB">
      <w:pPr>
        <w:tabs>
          <w:tab w:val="left" w:pos="90"/>
        </w:tabs>
        <w:spacing w:before="120"/>
        <w:jc w:val="both"/>
      </w:pPr>
      <w:r w:rsidRPr="0041557F">
        <w:rPr>
          <w:b/>
        </w:rPr>
        <w:t xml:space="preserve">Разходите </w:t>
      </w:r>
      <w:r w:rsidRPr="0041557F">
        <w:t>по бюджета на съдебната власт</w:t>
      </w:r>
      <w:r w:rsidRPr="0041557F">
        <w:rPr>
          <w:b/>
        </w:rPr>
        <w:t xml:space="preserve"> </w:t>
      </w:r>
      <w:r w:rsidRPr="0041557F">
        <w:t>към 31.03.2025 г.</w:t>
      </w:r>
      <w:r w:rsidRPr="0041557F">
        <w:rPr>
          <w:b/>
        </w:rPr>
        <w:t xml:space="preserve"> </w:t>
      </w:r>
      <w:r w:rsidRPr="0041557F">
        <w:t xml:space="preserve">са в размер на 257,4 млн. лв., като с най-голям относителен дял от отчетените разходи са тези за персонал – 92,4 % (237,9 млн. лв.). </w:t>
      </w:r>
      <w:r w:rsidRPr="00956422">
        <w:t>За сравнение, през същия период на 2024 г. са отчетени общо разходи в размер 321,5 млн. лева.</w:t>
      </w:r>
    </w:p>
    <w:p w14:paraId="1AB2D746" w14:textId="77777777" w:rsidR="00316A16" w:rsidRPr="00316A16" w:rsidRDefault="00316A16" w:rsidP="00316A16">
      <w:pPr>
        <w:keepNext/>
        <w:numPr>
          <w:ilvl w:val="0"/>
          <w:numId w:val="8"/>
        </w:numPr>
        <w:spacing w:before="360"/>
        <w:ind w:left="533" w:right="-108" w:hanging="391"/>
        <w:jc w:val="both"/>
        <w:outlineLvl w:val="0"/>
        <w:rPr>
          <w:b/>
          <w:bCs/>
        </w:rPr>
      </w:pPr>
      <w:r w:rsidRPr="00316A16">
        <w:rPr>
          <w:b/>
          <w:bCs/>
        </w:rPr>
        <w:t>Просрочени задължения</w:t>
      </w:r>
    </w:p>
    <w:p w14:paraId="59F95785" w14:textId="77777777" w:rsidR="008943A7" w:rsidRPr="00716094" w:rsidRDefault="008943A7" w:rsidP="00316A16">
      <w:pPr>
        <w:spacing w:before="120" w:after="120"/>
        <w:jc w:val="both"/>
        <w:rPr>
          <w:color w:val="0070C0"/>
        </w:rPr>
      </w:pPr>
      <w:r w:rsidRPr="001C4AE1">
        <w:t>Към 31.03.202</w:t>
      </w:r>
      <w:r w:rsidR="001C4AE1" w:rsidRPr="001C4AE1">
        <w:t>5</w:t>
      </w:r>
      <w:r w:rsidRPr="001C4AE1">
        <w:t xml:space="preserve"> г. просрочените задължения на централно и местно правителство са в размер на </w:t>
      </w:r>
      <w:r w:rsidR="003275E0" w:rsidRPr="003275E0">
        <w:rPr>
          <w:b/>
        </w:rPr>
        <w:t>372,5</w:t>
      </w:r>
      <w:r w:rsidRPr="003275E0">
        <w:rPr>
          <w:b/>
        </w:rPr>
        <w:t xml:space="preserve"> млн. лева.</w:t>
      </w:r>
      <w:r w:rsidRPr="003275E0">
        <w:t xml:space="preserve"> </w:t>
      </w:r>
    </w:p>
    <w:p w14:paraId="4D9F60E8" w14:textId="77777777" w:rsidR="003C6AB1" w:rsidRPr="00716094" w:rsidRDefault="008943A7" w:rsidP="003C6AB1">
      <w:pPr>
        <w:spacing w:before="120"/>
        <w:jc w:val="both"/>
        <w:rPr>
          <w:noProof/>
          <w:color w:val="0070C0"/>
        </w:rPr>
      </w:pPr>
      <w:r w:rsidRPr="003C6AB1">
        <w:t xml:space="preserve">Размерът на просрочените задължения на </w:t>
      </w:r>
      <w:r w:rsidRPr="003C6AB1">
        <w:rPr>
          <w:b/>
        </w:rPr>
        <w:t>централното правителство</w:t>
      </w:r>
      <w:r w:rsidRPr="003C6AB1">
        <w:t xml:space="preserve"> (министерства, ведомства и разпоредителите с бюджет по чл. 13, ал. 3 и ал. 4 на ЗПФ) е</w:t>
      </w:r>
      <w:r w:rsidRPr="003C6AB1">
        <w:rPr>
          <w:b/>
        </w:rPr>
        <w:t xml:space="preserve"> </w:t>
      </w:r>
      <w:r w:rsidR="003C6AB1" w:rsidRPr="003C6AB1">
        <w:rPr>
          <w:b/>
        </w:rPr>
        <w:t>200,9</w:t>
      </w:r>
      <w:r w:rsidRPr="003C6AB1">
        <w:rPr>
          <w:b/>
        </w:rPr>
        <w:t xml:space="preserve"> млн. лева. </w:t>
      </w:r>
      <w:r w:rsidR="003C6AB1" w:rsidRPr="003C6AB1">
        <w:t xml:space="preserve">Спрямо отчетените в края на 2024 г. те нарастват с 15,2 млн. лв. </w:t>
      </w:r>
      <w:r w:rsidR="003C6AB1" w:rsidRPr="00F66934">
        <w:t xml:space="preserve">В обхвата на държавния бюджет по-значими проблеми с наличие на просрочени задължения има </w:t>
      </w:r>
      <w:r w:rsidR="003C6AB1" w:rsidRPr="00F66934">
        <w:rPr>
          <w:bCs/>
        </w:rPr>
        <w:t>при следните министерства</w:t>
      </w:r>
      <w:r w:rsidR="003C6AB1" w:rsidRPr="00F66934">
        <w:t xml:space="preserve">: </w:t>
      </w:r>
      <w:r w:rsidR="003C6AB1" w:rsidRPr="00F66934">
        <w:rPr>
          <w:bCs/>
        </w:rPr>
        <w:t xml:space="preserve">Министерството на </w:t>
      </w:r>
      <w:r w:rsidR="003C6AB1" w:rsidRPr="00DD1524">
        <w:rPr>
          <w:bCs/>
        </w:rPr>
        <w:t xml:space="preserve">регионалното развитие и благоустройството – 133,2 млн. лв. </w:t>
      </w:r>
      <w:r w:rsidR="003C6AB1" w:rsidRPr="00DD1524">
        <w:rPr>
          <w:noProof/>
        </w:rPr>
        <w:t xml:space="preserve">(намаление с </w:t>
      </w:r>
      <w:r w:rsidR="00DD1524" w:rsidRPr="00DD1524">
        <w:rPr>
          <w:noProof/>
        </w:rPr>
        <w:t>8,4</w:t>
      </w:r>
      <w:r w:rsidR="003C6AB1" w:rsidRPr="00DD1524">
        <w:rPr>
          <w:noProof/>
        </w:rPr>
        <w:t xml:space="preserve"> млн. лв.</w:t>
      </w:r>
      <w:r w:rsidR="003C6AB1" w:rsidRPr="00DD1524">
        <w:t xml:space="preserve"> спрямо просрочията в края на </w:t>
      </w:r>
      <w:r w:rsidR="003C6AB1" w:rsidRPr="00F4417C">
        <w:t>2024 г.)</w:t>
      </w:r>
      <w:r w:rsidR="003C6AB1" w:rsidRPr="00F4417C">
        <w:rPr>
          <w:lang w:val="ru-RU"/>
        </w:rPr>
        <w:t xml:space="preserve">; </w:t>
      </w:r>
      <w:r w:rsidR="003C6AB1" w:rsidRPr="00147250">
        <w:rPr>
          <w:noProof/>
        </w:rPr>
        <w:t xml:space="preserve">Министерството на земеделието и храните – 14,2 млн. лв. (увеличение с </w:t>
      </w:r>
      <w:r w:rsidR="00F4417C" w:rsidRPr="00147250">
        <w:rPr>
          <w:noProof/>
        </w:rPr>
        <w:t>2,8</w:t>
      </w:r>
      <w:r w:rsidR="003C6AB1" w:rsidRPr="00147250">
        <w:rPr>
          <w:noProof/>
        </w:rPr>
        <w:t xml:space="preserve"> млн. лв. </w:t>
      </w:r>
      <w:r w:rsidR="003C6AB1" w:rsidRPr="00147250">
        <w:t>спрямо просрочията в края на 2024 г</w:t>
      </w:r>
      <w:r w:rsidR="00A722AF">
        <w:t>.</w:t>
      </w:r>
      <w:r w:rsidR="00A722AF" w:rsidRPr="00A722AF">
        <w:t xml:space="preserve"> </w:t>
      </w:r>
      <w:r w:rsidR="00A722AF" w:rsidRPr="00F4417C">
        <w:t>)</w:t>
      </w:r>
      <w:r w:rsidR="00A722AF" w:rsidRPr="00F4417C">
        <w:rPr>
          <w:lang w:val="ru-RU"/>
        </w:rPr>
        <w:t>;</w:t>
      </w:r>
      <w:r w:rsidR="00147250" w:rsidRPr="00147250">
        <w:t xml:space="preserve"> Министерство на транспорта и съобщенията</w:t>
      </w:r>
      <w:r w:rsidR="00147250" w:rsidRPr="00147250">
        <w:rPr>
          <w:noProof/>
        </w:rPr>
        <w:t xml:space="preserve"> – 7,0 млн. лв. (увеличение с 0,6 млн. лв. </w:t>
      </w:r>
      <w:r w:rsidR="00147250" w:rsidRPr="00147250">
        <w:t>спрямо просрочията в края на 2024 г.</w:t>
      </w:r>
      <w:r w:rsidR="00147250" w:rsidRPr="00147250">
        <w:rPr>
          <w:noProof/>
        </w:rPr>
        <w:t>);</w:t>
      </w:r>
      <w:r w:rsidR="00147250" w:rsidRPr="00F4417C">
        <w:rPr>
          <w:noProof/>
        </w:rPr>
        <w:t xml:space="preserve"> </w:t>
      </w:r>
      <w:r w:rsidR="008013CE" w:rsidRPr="00147250">
        <w:t xml:space="preserve">Министерство на </w:t>
      </w:r>
      <w:r w:rsidR="008013CE">
        <w:t>правосъдието</w:t>
      </w:r>
      <w:r w:rsidR="008013CE" w:rsidRPr="00147250">
        <w:rPr>
          <w:noProof/>
        </w:rPr>
        <w:t xml:space="preserve"> – </w:t>
      </w:r>
      <w:r w:rsidR="008013CE">
        <w:rPr>
          <w:noProof/>
        </w:rPr>
        <w:t>4,1</w:t>
      </w:r>
      <w:r w:rsidR="008013CE" w:rsidRPr="00147250">
        <w:rPr>
          <w:noProof/>
        </w:rPr>
        <w:t xml:space="preserve"> млн. лв. (увеличение с </w:t>
      </w:r>
      <w:r w:rsidR="008013CE">
        <w:rPr>
          <w:noProof/>
        </w:rPr>
        <w:t>3,5</w:t>
      </w:r>
      <w:r w:rsidR="008013CE" w:rsidRPr="00147250">
        <w:rPr>
          <w:noProof/>
        </w:rPr>
        <w:t xml:space="preserve"> млн. лв. </w:t>
      </w:r>
      <w:r w:rsidR="008013CE" w:rsidRPr="00147250">
        <w:t>спрямо просрочията в края на 2024 г.</w:t>
      </w:r>
      <w:r w:rsidR="008013CE" w:rsidRPr="00147250">
        <w:rPr>
          <w:noProof/>
        </w:rPr>
        <w:t>);</w:t>
      </w:r>
      <w:r w:rsidR="008013CE" w:rsidRPr="00F4417C">
        <w:rPr>
          <w:noProof/>
        </w:rPr>
        <w:t xml:space="preserve"> </w:t>
      </w:r>
      <w:r w:rsidR="003C6AB1" w:rsidRPr="00E6032B">
        <w:rPr>
          <w:noProof/>
        </w:rPr>
        <w:t>Министерството на отбраната – 3,532 млн. лв. (</w:t>
      </w:r>
      <w:r w:rsidR="00E6032B" w:rsidRPr="00E6032B">
        <w:rPr>
          <w:noProof/>
        </w:rPr>
        <w:t>увеличение с 0,5 млн. лв. спрямо просрочията в края на 2024 г.</w:t>
      </w:r>
      <w:r w:rsidR="003C6AB1" w:rsidRPr="00E6032B">
        <w:rPr>
          <w:noProof/>
        </w:rPr>
        <w:t xml:space="preserve">), </w:t>
      </w:r>
      <w:r w:rsidR="003C6AB1" w:rsidRPr="00F66934">
        <w:rPr>
          <w:noProof/>
        </w:rPr>
        <w:t>в т.ч. 3,453 млн. лв. на ВМА.</w:t>
      </w:r>
      <w:r w:rsidR="003C6AB1" w:rsidRPr="00716094">
        <w:rPr>
          <w:noProof/>
          <w:color w:val="0070C0"/>
        </w:rPr>
        <w:t xml:space="preserve"> </w:t>
      </w:r>
      <w:r w:rsidR="003C6AB1" w:rsidRPr="0039528E">
        <w:rPr>
          <w:noProof/>
        </w:rPr>
        <w:t xml:space="preserve">От разпоредителите с бюджет по чл. 13, ал. 3 на Закона за публичните финанси проблеми с наличието на просрочени задължения има </w:t>
      </w:r>
      <w:r w:rsidR="003C6AB1" w:rsidRPr="00DD40F9">
        <w:rPr>
          <w:noProof/>
        </w:rPr>
        <w:t xml:space="preserve">основно при държавните висши училища – 12,1 млн. лв. (увеличение с </w:t>
      </w:r>
      <w:r w:rsidR="00C437B7">
        <w:rPr>
          <w:noProof/>
        </w:rPr>
        <w:t>6,9</w:t>
      </w:r>
      <w:r w:rsidR="003C6AB1" w:rsidRPr="00DD40F9">
        <w:rPr>
          <w:noProof/>
        </w:rPr>
        <w:t xml:space="preserve"> млн. лв. </w:t>
      </w:r>
      <w:r w:rsidR="003C6AB1" w:rsidRPr="00DD40F9">
        <w:t xml:space="preserve">спрямо отчетените в края на 2024 г. </w:t>
      </w:r>
      <w:r w:rsidR="003C6AB1" w:rsidRPr="0039528E">
        <w:t xml:space="preserve">и представляват задължения за комунални услуги, неплатени данък сгради и такса смет на общините от Софийския университет „Св. Климент Охридски“ и от НАТФИЗ „Кръстьо Сарафов“, както и от надвнесени такси от студенти и специализанти на Медицинския университет – София и просрочени задължения към МБАЛ "Света </w:t>
      </w:r>
      <w:r w:rsidR="003C6AB1" w:rsidRPr="003563A7">
        <w:t>Марина" - Варна от Техническия университет Варна</w:t>
      </w:r>
      <w:r w:rsidR="003C6AB1" w:rsidRPr="003563A7">
        <w:rPr>
          <w:noProof/>
        </w:rPr>
        <w:t xml:space="preserve">), Българската национална телевизия – 12,9 млн. лв. </w:t>
      </w:r>
      <w:r w:rsidR="003C6AB1" w:rsidRPr="00813F65">
        <w:rPr>
          <w:noProof/>
        </w:rPr>
        <w:t xml:space="preserve">(увеличение с </w:t>
      </w:r>
      <w:r w:rsidR="007A627D">
        <w:rPr>
          <w:noProof/>
        </w:rPr>
        <w:t>4,5</w:t>
      </w:r>
      <w:r w:rsidR="003C6AB1" w:rsidRPr="00813F65">
        <w:rPr>
          <w:noProof/>
        </w:rPr>
        <w:t xml:space="preserve"> млн. лв. </w:t>
      </w:r>
      <w:r w:rsidR="003C6AB1" w:rsidRPr="00813F65">
        <w:t>спрямо отчетените в края на 2024 г.</w:t>
      </w:r>
      <w:r w:rsidR="003C6AB1" w:rsidRPr="00813F65">
        <w:rPr>
          <w:noProof/>
        </w:rPr>
        <w:t xml:space="preserve">, като това са основно </w:t>
      </w:r>
      <w:r w:rsidR="003C6AB1" w:rsidRPr="00813F65">
        <w:t xml:space="preserve">просрочени </w:t>
      </w:r>
      <w:r w:rsidR="003C6AB1" w:rsidRPr="007F2766">
        <w:t xml:space="preserve">задължения към доставчици в страната) и </w:t>
      </w:r>
      <w:r w:rsidR="003C6AB1" w:rsidRPr="007F2766">
        <w:rPr>
          <w:noProof/>
        </w:rPr>
        <w:t>Българското национало радио – 2,7 млн. лв. (</w:t>
      </w:r>
      <w:r w:rsidR="009A5B5D">
        <w:rPr>
          <w:noProof/>
        </w:rPr>
        <w:t>просрочията са близки до тези</w:t>
      </w:r>
      <w:r w:rsidR="003C6AB1" w:rsidRPr="007F2766">
        <w:rPr>
          <w:noProof/>
        </w:rPr>
        <w:t xml:space="preserve"> в края на 2024 г.</w:t>
      </w:r>
      <w:r w:rsidR="003C6AB1" w:rsidRPr="007F2766">
        <w:t xml:space="preserve">, </w:t>
      </w:r>
      <w:r w:rsidR="003C6AB1" w:rsidRPr="006903C0">
        <w:t xml:space="preserve">като това са основно </w:t>
      </w:r>
      <w:r w:rsidR="003C6AB1" w:rsidRPr="006903C0">
        <w:rPr>
          <w:szCs w:val="20"/>
        </w:rPr>
        <w:t xml:space="preserve">просрочени задължения за данъци, вноски, такси и административни санкции към Столична община за такса битови отпадъци за минали периоди, в т.ч. </w:t>
      </w:r>
      <w:r w:rsidR="003C6AB1" w:rsidRPr="006903C0">
        <w:rPr>
          <w:szCs w:val="20"/>
          <w:lang w:val="ru-RU"/>
        </w:rPr>
        <w:t>1</w:t>
      </w:r>
      <w:r w:rsidR="003C6AB1" w:rsidRPr="006903C0">
        <w:rPr>
          <w:szCs w:val="20"/>
        </w:rPr>
        <w:t>,5 млн. лв. за лихви</w:t>
      </w:r>
      <w:r w:rsidR="003C6AB1" w:rsidRPr="006903C0">
        <w:t>)</w:t>
      </w:r>
      <w:r w:rsidR="003C6AB1" w:rsidRPr="006903C0">
        <w:rPr>
          <w:noProof/>
        </w:rPr>
        <w:t xml:space="preserve">. </w:t>
      </w:r>
      <w:r w:rsidR="003C6AB1" w:rsidRPr="00095B5B">
        <w:rPr>
          <w:noProof/>
        </w:rPr>
        <w:t xml:space="preserve">От разпоредителите с бюджет по чл. 13, </w:t>
      </w:r>
      <w:r w:rsidR="003C6AB1" w:rsidRPr="00EE081A">
        <w:rPr>
          <w:noProof/>
        </w:rPr>
        <w:t>ал. 4 на Закона за публичните финанси проблеми с наличието на просрочени задължения има при Държавно предприятие „Научно-производствен център“ – 2,7 млн. лв. (увеличение с 0,</w:t>
      </w:r>
      <w:r w:rsidR="00EE081A" w:rsidRPr="00EE081A">
        <w:rPr>
          <w:noProof/>
        </w:rPr>
        <w:t>3</w:t>
      </w:r>
      <w:r w:rsidR="003C6AB1" w:rsidRPr="00EE081A">
        <w:rPr>
          <w:noProof/>
        </w:rPr>
        <w:t xml:space="preserve"> млн. лв. </w:t>
      </w:r>
      <w:r w:rsidR="003C6AB1" w:rsidRPr="00EE081A">
        <w:t>спрямо отчетените в края на 2024 г.</w:t>
      </w:r>
      <w:r w:rsidR="003C6AB1" w:rsidRPr="00EE081A">
        <w:rPr>
          <w:lang w:val="ru-RU"/>
        </w:rPr>
        <w:t>)</w:t>
      </w:r>
      <w:r w:rsidR="003C6AB1" w:rsidRPr="00EE081A">
        <w:t>.</w:t>
      </w:r>
    </w:p>
    <w:p w14:paraId="76558B14" w14:textId="77777777" w:rsidR="003C6AB1" w:rsidRPr="00716094" w:rsidRDefault="003C6AB1" w:rsidP="003C6AB1">
      <w:pPr>
        <w:spacing w:before="120" w:after="120"/>
        <w:jc w:val="both"/>
        <w:rPr>
          <w:noProof/>
          <w:color w:val="0070C0"/>
        </w:rPr>
      </w:pPr>
      <w:r w:rsidRPr="00B1239A">
        <w:rPr>
          <w:noProof/>
        </w:rPr>
        <w:t xml:space="preserve">Просрочените задължения по </w:t>
      </w:r>
      <w:r w:rsidRPr="00B1239A">
        <w:rPr>
          <w:b/>
          <w:noProof/>
        </w:rPr>
        <w:t>бюджетите на общините</w:t>
      </w:r>
      <w:r w:rsidRPr="00B1239A">
        <w:rPr>
          <w:noProof/>
        </w:rPr>
        <w:t xml:space="preserve"> към 31.03.2025 г. са в размер на </w:t>
      </w:r>
      <w:r>
        <w:rPr>
          <w:b/>
          <w:noProof/>
        </w:rPr>
        <w:t>171,6</w:t>
      </w:r>
      <w:r w:rsidRPr="00B1239A">
        <w:rPr>
          <w:b/>
          <w:noProof/>
        </w:rPr>
        <w:t> млн. лв.,</w:t>
      </w:r>
      <w:r w:rsidRPr="00B1239A">
        <w:rPr>
          <w:noProof/>
        </w:rPr>
        <w:t xml:space="preserve"> като </w:t>
      </w:r>
      <w:r w:rsidRPr="005A4991">
        <w:rPr>
          <w:noProof/>
        </w:rPr>
        <w:t xml:space="preserve">спрямо </w:t>
      </w:r>
      <w:r w:rsidRPr="005A4991">
        <w:t xml:space="preserve">края на 2024 г. </w:t>
      </w:r>
      <w:r w:rsidRPr="005A4991">
        <w:rPr>
          <w:noProof/>
        </w:rPr>
        <w:t>се отчита увеличение с 28,9 млн. лева. С най-голям относителен дял в просрочените задължения по бюджетите на общините към края на месец март 2025 г. са просрочените задължения към доставчици, които са в размер на 162,6 млн. лева. В делегираните от държавата дейности просрочените задължения са в размер на 6,6 млн. лева.</w:t>
      </w:r>
    </w:p>
    <w:p w14:paraId="4AC5868F" w14:textId="77777777" w:rsidR="008943A7" w:rsidRPr="00716094" w:rsidRDefault="003C6AB1" w:rsidP="00F55F46">
      <w:pPr>
        <w:spacing w:after="120"/>
        <w:jc w:val="both"/>
        <w:rPr>
          <w:noProof/>
          <w:color w:val="0070C0"/>
          <w:sz w:val="2"/>
          <w:szCs w:val="12"/>
          <w:lang w:val="en-US"/>
        </w:rPr>
      </w:pPr>
      <w:r w:rsidRPr="00117FBE">
        <w:rPr>
          <w:noProof/>
        </w:rPr>
        <w:t>Извън обхвата на консолидираната фискална програма, продължава да има проблем с просрочията на лечебните заведения за болнична помощ (държавни и общински болници – търговски дружества). Към 31.03.2025 г</w:t>
      </w:r>
      <w:r w:rsidRPr="00F55F46">
        <w:rPr>
          <w:noProof/>
        </w:rPr>
        <w:t xml:space="preserve">. </w:t>
      </w:r>
      <w:r w:rsidR="00F55F46" w:rsidRPr="00F55F46">
        <w:rPr>
          <w:noProof/>
        </w:rPr>
        <w:t xml:space="preserve">размерът на просрочените задължения е </w:t>
      </w:r>
      <w:r w:rsidR="00F55F46" w:rsidRPr="00F55F46">
        <w:rPr>
          <w:noProof/>
          <w:lang w:val="en-US"/>
        </w:rPr>
        <w:t xml:space="preserve">50,0 </w:t>
      </w:r>
      <w:r w:rsidR="00F55F46" w:rsidRPr="00F55F46">
        <w:rPr>
          <w:noProof/>
        </w:rPr>
        <w:t xml:space="preserve">млн. лв., от които </w:t>
      </w:r>
      <w:r w:rsidR="00F55F46" w:rsidRPr="00F55F46">
        <w:rPr>
          <w:noProof/>
          <w:lang w:val="en-US"/>
        </w:rPr>
        <w:t>38,3</w:t>
      </w:r>
      <w:r w:rsidR="00F55F46" w:rsidRPr="00F55F46">
        <w:rPr>
          <w:noProof/>
        </w:rPr>
        <w:t xml:space="preserve"> млн. лв. са на държавните болници и </w:t>
      </w:r>
      <w:r w:rsidR="00F55F46" w:rsidRPr="00F55F46">
        <w:rPr>
          <w:noProof/>
          <w:lang w:val="en-US"/>
        </w:rPr>
        <w:t>11,7</w:t>
      </w:r>
      <w:r w:rsidR="00F55F46" w:rsidRPr="00F55F46">
        <w:rPr>
          <w:noProof/>
        </w:rPr>
        <w:t xml:space="preserve"> млн. лв. са на общинските болници. Спрямо отчетените просрочени задължения към 31.12.2024 г. се отчита увеличение с </w:t>
      </w:r>
      <w:r w:rsidR="00F55F46" w:rsidRPr="00F55F46">
        <w:rPr>
          <w:noProof/>
          <w:lang w:val="en-US"/>
        </w:rPr>
        <w:t xml:space="preserve">8,5 </w:t>
      </w:r>
      <w:r w:rsidR="00F55F46" w:rsidRPr="00F55F46">
        <w:rPr>
          <w:noProof/>
        </w:rPr>
        <w:t xml:space="preserve">млн. лв. (с </w:t>
      </w:r>
      <w:r w:rsidR="00F55F46" w:rsidRPr="00F55F46">
        <w:rPr>
          <w:noProof/>
          <w:lang w:val="en-US"/>
        </w:rPr>
        <w:t>20,5</w:t>
      </w:r>
      <w:r w:rsidR="00964232">
        <w:rPr>
          <w:noProof/>
        </w:rPr>
        <w:t> </w:t>
      </w:r>
      <w:r w:rsidR="00F55F46" w:rsidRPr="00F55F46">
        <w:rPr>
          <w:noProof/>
        </w:rPr>
        <w:t>на сто)</w:t>
      </w:r>
      <w:r w:rsidR="00F55F46" w:rsidRPr="00F55F46">
        <w:t>.</w:t>
      </w:r>
    </w:p>
    <w:p w14:paraId="16C80560" w14:textId="77777777" w:rsidR="00333B5E" w:rsidRPr="00716094" w:rsidRDefault="00333B5E" w:rsidP="00333B5E">
      <w:pPr>
        <w:jc w:val="both"/>
        <w:rPr>
          <w:color w:val="0070C0"/>
          <w:sz w:val="12"/>
          <w:szCs w:val="12"/>
          <w:lang w:val="ru-RU"/>
        </w:rPr>
      </w:pPr>
    </w:p>
    <w:p w14:paraId="1282FD28" w14:textId="77777777" w:rsidR="00F521AA" w:rsidRPr="00751A2A" w:rsidRDefault="00F521AA" w:rsidP="00751A2A">
      <w:pPr>
        <w:pStyle w:val="Heading1"/>
        <w:numPr>
          <w:ilvl w:val="0"/>
          <w:numId w:val="8"/>
        </w:numPr>
        <w:tabs>
          <w:tab w:val="left" w:pos="90"/>
          <w:tab w:val="left" w:pos="993"/>
        </w:tabs>
        <w:spacing w:before="240" w:after="120"/>
        <w:ind w:right="-108"/>
        <w:jc w:val="both"/>
        <w:rPr>
          <w:sz w:val="24"/>
        </w:rPr>
      </w:pPr>
      <w:r w:rsidRPr="00751A2A">
        <w:rPr>
          <w:sz w:val="24"/>
        </w:rPr>
        <w:t xml:space="preserve">Сметки за средства от ЕС на Разплащателната агенция към ДФ „Земеделие“ и на Националния фонд към Министерството на финансите </w:t>
      </w:r>
    </w:p>
    <w:p w14:paraId="4636B3BC" w14:textId="77777777" w:rsidR="00F521AA" w:rsidRPr="00751A2A" w:rsidRDefault="00F521AA" w:rsidP="00751A2A">
      <w:pPr>
        <w:pStyle w:val="Heading1"/>
        <w:numPr>
          <w:ilvl w:val="1"/>
          <w:numId w:val="8"/>
        </w:numPr>
        <w:tabs>
          <w:tab w:val="left" w:pos="90"/>
          <w:tab w:val="left" w:pos="993"/>
        </w:tabs>
        <w:spacing w:before="120" w:after="120"/>
        <w:ind w:left="0" w:right="-108" w:firstLine="567"/>
        <w:jc w:val="both"/>
        <w:rPr>
          <w:sz w:val="24"/>
        </w:rPr>
      </w:pPr>
      <w:r w:rsidRPr="00751A2A">
        <w:rPr>
          <w:sz w:val="24"/>
        </w:rPr>
        <w:t xml:space="preserve"> Сметка за Европейски средства на Разплащателна агенция </w:t>
      </w:r>
      <w:r w:rsidR="00924745" w:rsidRPr="00751A2A">
        <w:rPr>
          <w:sz w:val="24"/>
        </w:rPr>
        <w:t xml:space="preserve">ДФ „Земеделие“ </w:t>
      </w:r>
      <w:r w:rsidRPr="00751A2A">
        <w:rPr>
          <w:sz w:val="24"/>
        </w:rPr>
        <w:t xml:space="preserve"> </w:t>
      </w:r>
    </w:p>
    <w:p w14:paraId="3B9A02B9" w14:textId="77777777" w:rsidR="006308FC" w:rsidRPr="006C2E25" w:rsidRDefault="006308FC" w:rsidP="00FB3C2C">
      <w:pPr>
        <w:numPr>
          <w:ilvl w:val="0"/>
          <w:numId w:val="18"/>
        </w:numPr>
        <w:tabs>
          <w:tab w:val="left" w:pos="90"/>
          <w:tab w:val="num" w:pos="540"/>
        </w:tabs>
        <w:spacing w:before="120" w:after="120" w:line="276" w:lineRule="auto"/>
        <w:ind w:left="0" w:firstLine="567"/>
        <w:contextualSpacing/>
        <w:jc w:val="both"/>
        <w:rPr>
          <w:b/>
          <w:lang w:eastAsia="bg-BG"/>
        </w:rPr>
      </w:pPr>
      <w:r w:rsidRPr="006C2E25">
        <w:rPr>
          <w:b/>
          <w:lang w:eastAsia="bg-BG"/>
        </w:rPr>
        <w:t>Приходи</w:t>
      </w:r>
    </w:p>
    <w:p w14:paraId="1E673B5E" w14:textId="77777777" w:rsidR="006308FC" w:rsidRPr="006C2E25" w:rsidRDefault="006308FC" w:rsidP="00C96981">
      <w:pPr>
        <w:ind w:firstLine="567"/>
        <w:jc w:val="both"/>
      </w:pPr>
      <w:r w:rsidRPr="006C2E25">
        <w:t>Към 31.03.202</w:t>
      </w:r>
      <w:r w:rsidR="006C2E25" w:rsidRPr="006C2E25">
        <w:t>5</w:t>
      </w:r>
      <w:r w:rsidRPr="006C2E25">
        <w:rPr>
          <w:lang w:val="ru-RU"/>
        </w:rPr>
        <w:t xml:space="preserve"> </w:t>
      </w:r>
      <w:r w:rsidRPr="006C2E25">
        <w:t xml:space="preserve">г. </w:t>
      </w:r>
      <w:r w:rsidR="006C2E25" w:rsidRPr="006C2E25">
        <w:t>отчетената сума в частта „Приходи“</w:t>
      </w:r>
      <w:r w:rsidRPr="006C2E25">
        <w:t xml:space="preserve"> </w:t>
      </w:r>
      <w:r w:rsidR="006C2E25" w:rsidRPr="006C2E25">
        <w:t xml:space="preserve">по сметката за средства от Европейския съюз на Разплащателната агенция към ДФ „Земеделие” </w:t>
      </w:r>
      <w:r w:rsidRPr="006C2E25">
        <w:t>са в размер на 2</w:t>
      </w:r>
      <w:r w:rsidR="006C2E25" w:rsidRPr="006C2E25">
        <w:t>03,5</w:t>
      </w:r>
      <w:r w:rsidRPr="006C2E25">
        <w:t xml:space="preserve"> млн. л</w:t>
      </w:r>
      <w:r w:rsidR="006C2E25" w:rsidRPr="006C2E25">
        <w:t>е</w:t>
      </w:r>
      <w:r w:rsidRPr="006C2E25">
        <w:t>в</w:t>
      </w:r>
      <w:r w:rsidR="006C2E25" w:rsidRPr="006C2E25">
        <w:t>а</w:t>
      </w:r>
      <w:r w:rsidRPr="006C2E25">
        <w:t xml:space="preserve">. За същия период на предходната година </w:t>
      </w:r>
      <w:r w:rsidR="006C2E25" w:rsidRPr="006C2E25">
        <w:t>постъпленията са били</w:t>
      </w:r>
      <w:r w:rsidRPr="006C2E25">
        <w:t xml:space="preserve"> </w:t>
      </w:r>
      <w:r w:rsidR="006C2E25" w:rsidRPr="006C2E25">
        <w:t>288,6</w:t>
      </w:r>
      <w:r w:rsidRPr="006C2E25">
        <w:t xml:space="preserve"> млн. лева.</w:t>
      </w:r>
    </w:p>
    <w:p w14:paraId="795D358D" w14:textId="77777777" w:rsidR="006308FC" w:rsidRPr="006C2E25" w:rsidRDefault="006308FC" w:rsidP="006C2E25">
      <w:pPr>
        <w:tabs>
          <w:tab w:val="left" w:pos="709"/>
        </w:tabs>
        <w:spacing w:before="120"/>
        <w:ind w:firstLine="562"/>
        <w:jc w:val="both"/>
      </w:pPr>
      <w:r w:rsidRPr="006C2E25">
        <w:t>Приходната част е формирана от приходи от наказателни лихви, помощи и дарения от чужбина и коректив на касови постъпления, както следва:</w:t>
      </w:r>
    </w:p>
    <w:p w14:paraId="07DC491A" w14:textId="77777777" w:rsidR="006308FC" w:rsidRPr="006C2E25" w:rsidRDefault="006308FC" w:rsidP="00FB3C2C">
      <w:pPr>
        <w:numPr>
          <w:ilvl w:val="0"/>
          <w:numId w:val="17"/>
        </w:numPr>
        <w:tabs>
          <w:tab w:val="left" w:pos="993"/>
        </w:tabs>
        <w:spacing w:before="120" w:after="120"/>
        <w:ind w:left="1321" w:hanging="612"/>
        <w:jc w:val="both"/>
        <w:rPr>
          <w:b/>
          <w:i/>
        </w:rPr>
      </w:pPr>
      <w:r w:rsidRPr="006C2E25">
        <w:rPr>
          <w:b/>
          <w:i/>
        </w:rPr>
        <w:t>Приходи от наказателни лихви</w:t>
      </w:r>
    </w:p>
    <w:p w14:paraId="28ED2D0F" w14:textId="77777777" w:rsidR="006308FC" w:rsidRPr="006C2E25" w:rsidRDefault="006308FC" w:rsidP="00C96981">
      <w:pPr>
        <w:ind w:firstLine="567"/>
        <w:jc w:val="both"/>
      </w:pPr>
      <w:r w:rsidRPr="006C2E25">
        <w:t>Към края на първото тримесечие на 202</w:t>
      </w:r>
      <w:r w:rsidR="006C2E25" w:rsidRPr="006C2E25">
        <w:t>5</w:t>
      </w:r>
      <w:r w:rsidRPr="006C2E25">
        <w:rPr>
          <w:lang w:val="ru-RU"/>
        </w:rPr>
        <w:t xml:space="preserve"> </w:t>
      </w:r>
      <w:r w:rsidRPr="006C2E25">
        <w:t>г. са отчетени приходи от получени наказателни лихви, свързани с вземания за възстановяване на средства от ЕК в размер на 0,</w:t>
      </w:r>
      <w:r w:rsidR="006C2E25" w:rsidRPr="006C2E25">
        <w:t>4</w:t>
      </w:r>
      <w:r w:rsidRPr="006C2E25">
        <w:t xml:space="preserve"> млн. лева.</w:t>
      </w:r>
    </w:p>
    <w:p w14:paraId="2DE65E49" w14:textId="77777777" w:rsidR="006308FC" w:rsidRPr="006C2E25" w:rsidRDefault="006308FC" w:rsidP="00FB3C2C">
      <w:pPr>
        <w:numPr>
          <w:ilvl w:val="0"/>
          <w:numId w:val="17"/>
        </w:numPr>
        <w:tabs>
          <w:tab w:val="left" w:pos="993"/>
        </w:tabs>
        <w:spacing w:before="120" w:after="120"/>
        <w:ind w:left="1321" w:hanging="612"/>
        <w:jc w:val="both"/>
        <w:rPr>
          <w:b/>
          <w:i/>
        </w:rPr>
      </w:pPr>
      <w:r w:rsidRPr="006C2E25">
        <w:rPr>
          <w:b/>
          <w:i/>
        </w:rPr>
        <w:t>Текущи помощи и дарения от Европейския съюз</w:t>
      </w:r>
    </w:p>
    <w:p w14:paraId="79BBD515" w14:textId="77777777" w:rsidR="006308FC" w:rsidRPr="006C2E25" w:rsidRDefault="006308FC" w:rsidP="00C96981">
      <w:pPr>
        <w:ind w:firstLine="567"/>
        <w:jc w:val="both"/>
      </w:pPr>
      <w:r w:rsidRPr="006C2E25">
        <w:t>Общият размер на получените приходи, отчетени в „Текущи помощи и дарения от Европейския съюз“, към 31.03.202</w:t>
      </w:r>
      <w:r w:rsidR="006C2E25" w:rsidRPr="006C2E25">
        <w:t>5</w:t>
      </w:r>
      <w:r w:rsidRPr="006C2E25">
        <w:rPr>
          <w:lang w:val="ru-RU"/>
        </w:rPr>
        <w:t xml:space="preserve"> </w:t>
      </w:r>
      <w:r w:rsidRPr="006C2E25">
        <w:t>г. е 2</w:t>
      </w:r>
      <w:r w:rsidR="006C2E25" w:rsidRPr="006C2E25">
        <w:t>0,7</w:t>
      </w:r>
      <w:r w:rsidRPr="006C2E25">
        <w:t xml:space="preserve"> млн. л</w:t>
      </w:r>
      <w:r w:rsidR="006C2E25" w:rsidRPr="006C2E25">
        <w:t>е</w:t>
      </w:r>
      <w:r w:rsidRPr="006C2E25">
        <w:t>в</w:t>
      </w:r>
      <w:r w:rsidR="006C2E25" w:rsidRPr="006C2E25">
        <w:t>а</w:t>
      </w:r>
      <w:r w:rsidRPr="006C2E25">
        <w:t>.</w:t>
      </w:r>
    </w:p>
    <w:p w14:paraId="35EA7A2B" w14:textId="77777777" w:rsidR="006308FC" w:rsidRPr="006C2E25" w:rsidRDefault="006308FC" w:rsidP="00C96981">
      <w:pPr>
        <w:ind w:firstLine="567"/>
        <w:jc w:val="both"/>
      </w:pPr>
      <w:r w:rsidRPr="006C2E25">
        <w:t>Получените текущи приходи от възстановяване на средства от Европейски земеделски фонд за развитие на селските райони (ЕЗФРСР) по линия на Програмата за развитие на селските райони (ПРСР) без директни плащания към 31.03.202</w:t>
      </w:r>
      <w:r w:rsidR="006C2E25" w:rsidRPr="006C2E25">
        <w:t>5</w:t>
      </w:r>
      <w:r w:rsidRPr="006C2E25">
        <w:rPr>
          <w:lang w:val="ru-RU"/>
        </w:rPr>
        <w:t xml:space="preserve"> </w:t>
      </w:r>
      <w:r w:rsidRPr="006C2E25">
        <w:t xml:space="preserve">г. възлизат на </w:t>
      </w:r>
      <w:r w:rsidRPr="006C2E25">
        <w:rPr>
          <w:lang w:val="ru-RU"/>
        </w:rPr>
        <w:t>1</w:t>
      </w:r>
      <w:r w:rsidR="006C2E25" w:rsidRPr="006C2E25">
        <w:rPr>
          <w:lang w:val="ru-RU"/>
        </w:rPr>
        <w:t xml:space="preserve">9,2 </w:t>
      </w:r>
      <w:r w:rsidRPr="006C2E25">
        <w:t>млн. л</w:t>
      </w:r>
      <w:r w:rsidR="006C2E25" w:rsidRPr="006C2E25">
        <w:t>е</w:t>
      </w:r>
      <w:r w:rsidRPr="006C2E25">
        <w:t>в</w:t>
      </w:r>
      <w:r w:rsidR="006C2E25" w:rsidRPr="006C2E25">
        <w:t>а</w:t>
      </w:r>
      <w:r w:rsidRPr="006C2E25">
        <w:t xml:space="preserve">. За същия период на миналата година отчетените текущи приходи са били в размер на </w:t>
      </w:r>
      <w:r w:rsidR="006C2E25" w:rsidRPr="006C2E25">
        <w:t>18,1</w:t>
      </w:r>
      <w:r w:rsidRPr="006C2E25">
        <w:t xml:space="preserve"> млн. лева.</w:t>
      </w:r>
    </w:p>
    <w:p w14:paraId="7F5DA10E" w14:textId="77777777" w:rsidR="006308FC" w:rsidRPr="009802F0" w:rsidRDefault="006308FC" w:rsidP="00C96981">
      <w:pPr>
        <w:ind w:firstLine="567"/>
        <w:jc w:val="both"/>
      </w:pPr>
      <w:r w:rsidRPr="006C2E25">
        <w:t>Получените текущи приходи от възстановяване на средства по линия на схемите „Училищен плод“ и „Училищно мляко“ от Европейски фонд за гарантиране на земеделието (ЕФГЗ) към 31.03.</w:t>
      </w:r>
      <w:r w:rsidRPr="009802F0">
        <w:t>202</w:t>
      </w:r>
      <w:r w:rsidR="006C2E25" w:rsidRPr="009802F0">
        <w:t>5</w:t>
      </w:r>
      <w:r w:rsidRPr="009802F0">
        <w:t xml:space="preserve"> г. са 1,5 млн. л</w:t>
      </w:r>
      <w:r w:rsidR="006C2E25" w:rsidRPr="009802F0">
        <w:t>е</w:t>
      </w:r>
      <w:r w:rsidRPr="009802F0">
        <w:t>в</w:t>
      </w:r>
      <w:r w:rsidR="006C2E25" w:rsidRPr="009802F0">
        <w:t>а</w:t>
      </w:r>
      <w:r w:rsidRPr="009802F0">
        <w:t>. За първото тримесечие на 202</w:t>
      </w:r>
      <w:r w:rsidR="006C2E25" w:rsidRPr="009802F0">
        <w:t>4</w:t>
      </w:r>
      <w:r w:rsidRPr="009802F0">
        <w:t xml:space="preserve"> г. по това направление са отчетени също 1,5 млн. л</w:t>
      </w:r>
      <w:r w:rsidR="006C2E25" w:rsidRPr="009802F0">
        <w:t>е</w:t>
      </w:r>
      <w:r w:rsidRPr="009802F0">
        <w:t>в</w:t>
      </w:r>
      <w:r w:rsidR="006C2E25" w:rsidRPr="009802F0">
        <w:t>а</w:t>
      </w:r>
      <w:r w:rsidRPr="009802F0">
        <w:t>.</w:t>
      </w:r>
    </w:p>
    <w:p w14:paraId="45F88355" w14:textId="77777777" w:rsidR="006308FC" w:rsidRPr="009802F0" w:rsidRDefault="006308FC" w:rsidP="00C96981">
      <w:pPr>
        <w:ind w:firstLine="567"/>
        <w:jc w:val="both"/>
      </w:pPr>
      <w:r w:rsidRPr="009802F0">
        <w:t>За периода 01.01-31.03.202</w:t>
      </w:r>
      <w:r w:rsidR="009802F0" w:rsidRPr="009802F0">
        <w:t>5</w:t>
      </w:r>
      <w:r w:rsidRPr="009802F0">
        <w:t xml:space="preserve"> г. </w:t>
      </w:r>
      <w:r w:rsidR="009802F0" w:rsidRPr="009802F0">
        <w:t xml:space="preserve">не са </w:t>
      </w:r>
      <w:r w:rsidRPr="009802F0">
        <w:t>възстановени средства от Европейския фонд за морско дело и рибарство (ЕФМДР). През същия период на миналата година са получени</w:t>
      </w:r>
      <w:r w:rsidR="009802F0" w:rsidRPr="009802F0">
        <w:t xml:space="preserve"> 5,8</w:t>
      </w:r>
      <w:r w:rsidRPr="009802F0">
        <w:t xml:space="preserve"> млн. лв. текущи приходи.</w:t>
      </w:r>
    </w:p>
    <w:p w14:paraId="69D3276C" w14:textId="77777777" w:rsidR="006308FC" w:rsidRPr="009802F0" w:rsidRDefault="006308FC" w:rsidP="00FB3C2C">
      <w:pPr>
        <w:numPr>
          <w:ilvl w:val="0"/>
          <w:numId w:val="17"/>
        </w:numPr>
        <w:tabs>
          <w:tab w:val="left" w:pos="993"/>
        </w:tabs>
        <w:spacing w:before="120" w:after="120"/>
        <w:ind w:left="1321" w:hanging="612"/>
        <w:jc w:val="both"/>
        <w:rPr>
          <w:b/>
          <w:i/>
          <w:lang w:eastAsia="bg-BG"/>
        </w:rPr>
      </w:pPr>
      <w:r w:rsidRPr="009802F0">
        <w:rPr>
          <w:b/>
          <w:i/>
          <w:lang w:eastAsia="bg-BG"/>
        </w:rPr>
        <w:t>Капиталови помощи и дарения от Европейския съюз</w:t>
      </w:r>
    </w:p>
    <w:p w14:paraId="649C4861" w14:textId="77777777" w:rsidR="006308FC" w:rsidRPr="009802F0" w:rsidRDefault="006308FC" w:rsidP="00C96981">
      <w:pPr>
        <w:ind w:firstLine="567"/>
        <w:jc w:val="both"/>
      </w:pPr>
      <w:r w:rsidRPr="009802F0">
        <w:t>Общият размер на получените приходи, отчетени в „Капиталови помощи и дарения от Европейския съюз“ към 31.03.202</w:t>
      </w:r>
      <w:r w:rsidR="009802F0" w:rsidRPr="009802F0">
        <w:t>5</w:t>
      </w:r>
      <w:r w:rsidRPr="009802F0">
        <w:t xml:space="preserve"> г. е </w:t>
      </w:r>
      <w:r w:rsidR="009802F0" w:rsidRPr="009802F0">
        <w:t>184,3</w:t>
      </w:r>
      <w:r w:rsidRPr="009802F0">
        <w:t xml:space="preserve"> млн. л</w:t>
      </w:r>
      <w:r w:rsidR="009802F0" w:rsidRPr="009802F0">
        <w:t>е</w:t>
      </w:r>
      <w:r w:rsidRPr="009802F0">
        <w:t>в</w:t>
      </w:r>
      <w:r w:rsidR="009802F0" w:rsidRPr="009802F0">
        <w:t>а</w:t>
      </w:r>
      <w:r w:rsidRPr="009802F0">
        <w:t xml:space="preserve">. </w:t>
      </w:r>
    </w:p>
    <w:p w14:paraId="5A918B87" w14:textId="77777777" w:rsidR="006308FC" w:rsidRPr="009802F0" w:rsidRDefault="006308FC" w:rsidP="00E031F0">
      <w:pPr>
        <w:ind w:firstLine="567"/>
        <w:jc w:val="both"/>
      </w:pPr>
      <w:r w:rsidRPr="009802F0">
        <w:t>Получените капиталови приходи от ЕЗФРСР по линия на ПРСР без директни плащания към края на месец март 202</w:t>
      </w:r>
      <w:r w:rsidR="009802F0" w:rsidRPr="009802F0">
        <w:t>5</w:t>
      </w:r>
      <w:r w:rsidRPr="009802F0">
        <w:t xml:space="preserve"> г. са </w:t>
      </w:r>
      <w:r w:rsidR="009802F0" w:rsidRPr="009802F0">
        <w:t>184,3</w:t>
      </w:r>
      <w:r w:rsidRPr="009802F0">
        <w:t xml:space="preserve"> млн. л</w:t>
      </w:r>
      <w:r w:rsidR="009802F0" w:rsidRPr="009802F0">
        <w:t>е</w:t>
      </w:r>
      <w:r w:rsidRPr="009802F0">
        <w:t>в</w:t>
      </w:r>
      <w:r w:rsidR="009802F0" w:rsidRPr="009802F0">
        <w:t>а</w:t>
      </w:r>
      <w:r w:rsidRPr="009802F0">
        <w:t xml:space="preserve">. За сравнение, за първото тримесечие на предходната година, капиталовите приходи по ПРСР са били </w:t>
      </w:r>
      <w:r w:rsidR="009802F0" w:rsidRPr="009802F0">
        <w:t>262,6</w:t>
      </w:r>
      <w:r w:rsidRPr="009802F0">
        <w:t xml:space="preserve"> млн. л</w:t>
      </w:r>
      <w:r w:rsidR="009802F0" w:rsidRPr="009802F0">
        <w:t>е</w:t>
      </w:r>
      <w:r w:rsidRPr="009802F0">
        <w:t>в</w:t>
      </w:r>
      <w:r w:rsidR="009802F0" w:rsidRPr="009802F0">
        <w:t>а</w:t>
      </w:r>
      <w:r w:rsidRPr="009802F0">
        <w:t>.</w:t>
      </w:r>
    </w:p>
    <w:p w14:paraId="1CA28F2A" w14:textId="77777777" w:rsidR="006308FC" w:rsidRPr="00A34F21" w:rsidRDefault="006308FC" w:rsidP="00E031F0">
      <w:pPr>
        <w:ind w:firstLine="567"/>
        <w:jc w:val="both"/>
      </w:pPr>
      <w:r w:rsidRPr="00A34F21">
        <w:t>В периода 01.01-31.03.202</w:t>
      </w:r>
      <w:r w:rsidR="00A34F21" w:rsidRPr="00A34F21">
        <w:t>5</w:t>
      </w:r>
      <w:r w:rsidRPr="00A34F21">
        <w:t xml:space="preserve"> г. </w:t>
      </w:r>
      <w:r w:rsidR="00A34F21" w:rsidRPr="00A34F21">
        <w:t>не са</w:t>
      </w:r>
      <w:r w:rsidRPr="00A34F21">
        <w:t xml:space="preserve"> получени капиталови приходи от фонд ЕФМДР. За същия период на предходната година по това направление са отчетени </w:t>
      </w:r>
      <w:r w:rsidR="00A34F21" w:rsidRPr="00A34F21">
        <w:t>3,6</w:t>
      </w:r>
      <w:r w:rsidRPr="00A34F21">
        <w:t xml:space="preserve"> млн. лева.</w:t>
      </w:r>
      <w:r w:rsidRPr="00A34F21">
        <w:tab/>
      </w:r>
    </w:p>
    <w:p w14:paraId="235AFEEC" w14:textId="77777777" w:rsidR="006308FC" w:rsidRPr="00B57DA2" w:rsidRDefault="006308FC" w:rsidP="00FB3C2C">
      <w:pPr>
        <w:numPr>
          <w:ilvl w:val="0"/>
          <w:numId w:val="17"/>
        </w:numPr>
        <w:tabs>
          <w:tab w:val="left" w:pos="993"/>
        </w:tabs>
        <w:spacing w:before="120" w:after="120"/>
        <w:ind w:left="1321" w:hanging="612"/>
        <w:jc w:val="both"/>
        <w:rPr>
          <w:b/>
          <w:i/>
          <w:lang w:eastAsia="bg-BG"/>
        </w:rPr>
      </w:pPr>
      <w:r w:rsidRPr="00B57DA2">
        <w:rPr>
          <w:b/>
          <w:i/>
          <w:lang w:eastAsia="bg-BG"/>
        </w:rPr>
        <w:t xml:space="preserve">Коректив на касови постъпления </w:t>
      </w:r>
    </w:p>
    <w:p w14:paraId="74F27434" w14:textId="77777777" w:rsidR="006308FC" w:rsidRPr="00B57DA2" w:rsidRDefault="006308FC" w:rsidP="00E031F0">
      <w:pPr>
        <w:spacing w:before="120" w:after="120"/>
        <w:ind w:firstLine="567"/>
        <w:jc w:val="both"/>
        <w:rPr>
          <w:bCs/>
          <w:iCs/>
        </w:rPr>
      </w:pPr>
      <w:r w:rsidRPr="00B57DA2">
        <w:rPr>
          <w:bCs/>
          <w:iCs/>
        </w:rPr>
        <w:t>Към 31.03.202</w:t>
      </w:r>
      <w:r w:rsidR="00B57DA2" w:rsidRPr="00B57DA2">
        <w:rPr>
          <w:bCs/>
          <w:iCs/>
        </w:rPr>
        <w:t>5</w:t>
      </w:r>
      <w:r w:rsidRPr="00B57DA2">
        <w:rPr>
          <w:bCs/>
          <w:iCs/>
        </w:rPr>
        <w:t xml:space="preserve"> г. отчетеният коректив на касови постъпления е минус </w:t>
      </w:r>
      <w:r w:rsidR="00B57DA2" w:rsidRPr="00B57DA2">
        <w:rPr>
          <w:bCs/>
          <w:iCs/>
        </w:rPr>
        <w:t>1,9</w:t>
      </w:r>
      <w:r w:rsidRPr="00B57DA2">
        <w:rPr>
          <w:bCs/>
          <w:iCs/>
        </w:rPr>
        <w:t xml:space="preserve"> млн. л</w:t>
      </w:r>
      <w:r w:rsidR="00B57DA2" w:rsidRPr="00B57DA2">
        <w:rPr>
          <w:bCs/>
          <w:iCs/>
        </w:rPr>
        <w:t>е</w:t>
      </w:r>
      <w:r w:rsidRPr="00B57DA2">
        <w:rPr>
          <w:bCs/>
          <w:iCs/>
        </w:rPr>
        <w:t>в</w:t>
      </w:r>
      <w:r w:rsidR="00B57DA2" w:rsidRPr="00B57DA2">
        <w:rPr>
          <w:bCs/>
          <w:iCs/>
        </w:rPr>
        <w:t>а</w:t>
      </w:r>
      <w:r w:rsidRPr="00B57DA2">
        <w:rPr>
          <w:bCs/>
          <w:iCs/>
        </w:rPr>
        <w:t>. Той е формиран от размера на принудително събрани суми от НАП, за които не е извършен превод на средства по сметката на ДФЗ-РА.</w:t>
      </w:r>
    </w:p>
    <w:p w14:paraId="1460F23E" w14:textId="77777777" w:rsidR="006308FC" w:rsidRPr="00B57DA2" w:rsidRDefault="006308FC" w:rsidP="00FB3C2C">
      <w:pPr>
        <w:numPr>
          <w:ilvl w:val="0"/>
          <w:numId w:val="18"/>
        </w:numPr>
        <w:spacing w:before="120" w:after="120" w:line="276" w:lineRule="auto"/>
        <w:ind w:left="777" w:hanging="357"/>
        <w:jc w:val="both"/>
        <w:rPr>
          <w:b/>
          <w:lang w:eastAsia="bg-BG"/>
        </w:rPr>
      </w:pPr>
      <w:r w:rsidRPr="00B57DA2">
        <w:rPr>
          <w:b/>
          <w:lang w:eastAsia="bg-BG"/>
        </w:rPr>
        <w:t>Разходи</w:t>
      </w:r>
    </w:p>
    <w:p w14:paraId="6639F808" w14:textId="77777777" w:rsidR="006308FC" w:rsidRPr="00D04CDF" w:rsidRDefault="00D04CDF" w:rsidP="00E031F0">
      <w:pPr>
        <w:ind w:firstLine="567"/>
        <w:jc w:val="both"/>
        <w:rPr>
          <w:szCs w:val="20"/>
        </w:rPr>
      </w:pPr>
      <w:r w:rsidRPr="00D04CDF">
        <w:t>Към 31.03.2025 г. отчетените разходи възлизат на 94,5 млн. лв., формирани от текущи и капиталови трансфери, както следва:</w:t>
      </w:r>
    </w:p>
    <w:p w14:paraId="58ED3DFF" w14:textId="77777777" w:rsidR="006308FC" w:rsidRPr="004F03AF" w:rsidRDefault="006308FC" w:rsidP="00FB3C2C">
      <w:pPr>
        <w:numPr>
          <w:ilvl w:val="0"/>
          <w:numId w:val="17"/>
        </w:numPr>
        <w:tabs>
          <w:tab w:val="left" w:pos="993"/>
        </w:tabs>
        <w:spacing w:before="120" w:after="120"/>
        <w:ind w:left="1321" w:hanging="612"/>
        <w:jc w:val="both"/>
        <w:rPr>
          <w:b/>
          <w:i/>
          <w:lang w:eastAsia="bg-BG"/>
        </w:rPr>
      </w:pPr>
      <w:r w:rsidRPr="004F03AF">
        <w:rPr>
          <w:b/>
          <w:i/>
          <w:lang w:eastAsia="bg-BG"/>
        </w:rPr>
        <w:t>Субсидии и други текущи трансфери за нефинансови предприятия</w:t>
      </w:r>
    </w:p>
    <w:p w14:paraId="2070397A" w14:textId="77777777" w:rsidR="00D04CDF" w:rsidRPr="004F03AF" w:rsidRDefault="006308FC" w:rsidP="00D04CDF">
      <w:pPr>
        <w:ind w:firstLine="567"/>
        <w:contextualSpacing/>
        <w:jc w:val="both"/>
      </w:pPr>
      <w:r w:rsidRPr="004F03AF">
        <w:t>Отчетените към 31.03.202</w:t>
      </w:r>
      <w:r w:rsidR="00D04CDF" w:rsidRPr="004F03AF">
        <w:t>5</w:t>
      </w:r>
      <w:r w:rsidRPr="004F03AF">
        <w:t xml:space="preserve"> г</w:t>
      </w:r>
      <w:r w:rsidR="004F03AF" w:rsidRPr="004F03AF">
        <w:t>. субсидии и други текущи трансфери за нефинансови предприятия</w:t>
      </w:r>
      <w:r w:rsidR="00D04CDF" w:rsidRPr="004F03AF">
        <w:t xml:space="preserve"> са в размер на 33,7 млн. лв. </w:t>
      </w:r>
      <w:r w:rsidR="00085715">
        <w:t xml:space="preserve">и са </w:t>
      </w:r>
      <w:r w:rsidR="00D04CDF" w:rsidRPr="004F03AF">
        <w:t>разпределени</w:t>
      </w:r>
      <w:r w:rsidR="00085715">
        <w:t>,</w:t>
      </w:r>
      <w:r w:rsidR="00D04CDF" w:rsidRPr="004F03AF">
        <w:t xml:space="preserve"> както следва:</w:t>
      </w:r>
    </w:p>
    <w:p w14:paraId="0C59CEFF" w14:textId="77777777" w:rsidR="00D04CDF" w:rsidRPr="004F03AF" w:rsidRDefault="00D04CDF" w:rsidP="00D04CDF">
      <w:pPr>
        <w:ind w:firstLine="567"/>
        <w:contextualSpacing/>
        <w:jc w:val="both"/>
      </w:pPr>
      <w:r w:rsidRPr="004F03AF">
        <w:t>- национално съфинансиране към ЕЗФРСР за директни плащания – 13,0 млн. лв.;</w:t>
      </w:r>
    </w:p>
    <w:p w14:paraId="6C66BFA9" w14:textId="77777777" w:rsidR="00D04CDF" w:rsidRPr="004F03AF" w:rsidRDefault="00D04CDF" w:rsidP="00D04CDF">
      <w:pPr>
        <w:ind w:firstLine="567"/>
        <w:contextualSpacing/>
        <w:jc w:val="both"/>
      </w:pPr>
      <w:r w:rsidRPr="004F03AF">
        <w:t>- текущи субсидии по ПРСР – 1,8 млн. лв.;</w:t>
      </w:r>
    </w:p>
    <w:p w14:paraId="3CD3AAFC" w14:textId="77777777" w:rsidR="00D04CDF" w:rsidRPr="004F03AF" w:rsidRDefault="00D04CDF" w:rsidP="00D04CDF">
      <w:pPr>
        <w:ind w:firstLine="567"/>
        <w:contextualSpacing/>
        <w:jc w:val="both"/>
      </w:pPr>
      <w:r w:rsidRPr="004F03AF">
        <w:t xml:space="preserve">- текущи субсидии за пазарни мерки – 18,9 млн. лв. </w:t>
      </w:r>
    </w:p>
    <w:p w14:paraId="1F53514D" w14:textId="77777777" w:rsidR="006308FC" w:rsidRPr="004F03AF" w:rsidRDefault="00D04CDF" w:rsidP="00D04CDF">
      <w:pPr>
        <w:ind w:firstLine="567"/>
        <w:contextualSpacing/>
        <w:jc w:val="both"/>
      </w:pPr>
      <w:r w:rsidRPr="004F03AF">
        <w:t>Към 31.03.2024</w:t>
      </w:r>
      <w:r w:rsidR="00085715">
        <w:t xml:space="preserve"> </w:t>
      </w:r>
      <w:r w:rsidRPr="004F03AF">
        <w:t>г. отчетените текущи субсидии са били 25,7 млн. лева.</w:t>
      </w:r>
      <w:r w:rsidR="006308FC" w:rsidRPr="004F03AF">
        <w:t xml:space="preserve"> </w:t>
      </w:r>
    </w:p>
    <w:p w14:paraId="5A62C2F3" w14:textId="77777777" w:rsidR="006308FC" w:rsidRPr="00BF6E7C" w:rsidRDefault="006308FC" w:rsidP="00FB3C2C">
      <w:pPr>
        <w:numPr>
          <w:ilvl w:val="0"/>
          <w:numId w:val="17"/>
        </w:numPr>
        <w:tabs>
          <w:tab w:val="left" w:pos="993"/>
        </w:tabs>
        <w:spacing w:before="120" w:after="120"/>
        <w:ind w:left="1321" w:hanging="612"/>
        <w:jc w:val="both"/>
        <w:rPr>
          <w:b/>
          <w:i/>
          <w:lang w:eastAsia="bg-BG"/>
        </w:rPr>
      </w:pPr>
      <w:r w:rsidRPr="00BF6E7C">
        <w:rPr>
          <w:b/>
          <w:i/>
          <w:lang w:eastAsia="bg-BG"/>
        </w:rPr>
        <w:t>Субсидии и други текущи трансфери за юридически лица с нестопанска цел</w:t>
      </w:r>
    </w:p>
    <w:p w14:paraId="19DDC52A" w14:textId="77777777" w:rsidR="006308FC" w:rsidRPr="00085715" w:rsidRDefault="00085715" w:rsidP="005133D4">
      <w:pPr>
        <w:tabs>
          <w:tab w:val="left" w:pos="993"/>
        </w:tabs>
        <w:ind w:firstLine="567"/>
        <w:jc w:val="both"/>
      </w:pPr>
      <w:r w:rsidRPr="00085715">
        <w:t>Към края на първото тримесечие на 2025</w:t>
      </w:r>
      <w:r>
        <w:t xml:space="preserve"> </w:t>
      </w:r>
      <w:r w:rsidRPr="00085715">
        <w:t xml:space="preserve">г. </w:t>
      </w:r>
      <w:r w:rsidR="006308FC" w:rsidRPr="00085715">
        <w:t xml:space="preserve">за субсидии и други текущи трансфери за юридически лица с нестопанска цел са </w:t>
      </w:r>
      <w:r w:rsidRPr="00085715">
        <w:t>отчетени</w:t>
      </w:r>
      <w:r w:rsidR="006308FC" w:rsidRPr="00085715">
        <w:t xml:space="preserve"> </w:t>
      </w:r>
      <w:r w:rsidRPr="00085715">
        <w:t>1,9</w:t>
      </w:r>
      <w:r w:rsidR="006308FC" w:rsidRPr="00085715">
        <w:t xml:space="preserve"> млн. лева. За същия период на предходната 202</w:t>
      </w:r>
      <w:r w:rsidRPr="00085715">
        <w:t>4</w:t>
      </w:r>
      <w:r w:rsidR="006308FC" w:rsidRPr="00085715">
        <w:t xml:space="preserve"> г. този вид разходи са възлизали на </w:t>
      </w:r>
      <w:r w:rsidRPr="00085715">
        <w:t>2,4</w:t>
      </w:r>
      <w:r w:rsidR="006308FC" w:rsidRPr="00085715">
        <w:t xml:space="preserve"> млн. л</w:t>
      </w:r>
      <w:r w:rsidRPr="00085715">
        <w:t>е</w:t>
      </w:r>
      <w:r w:rsidR="006308FC" w:rsidRPr="00085715">
        <w:t>в</w:t>
      </w:r>
      <w:r w:rsidRPr="00085715">
        <w:t>а</w:t>
      </w:r>
      <w:r w:rsidR="006308FC" w:rsidRPr="00085715">
        <w:t>.</w:t>
      </w:r>
    </w:p>
    <w:p w14:paraId="6BE18A69" w14:textId="77777777" w:rsidR="006308FC" w:rsidRPr="00085715" w:rsidRDefault="006308FC" w:rsidP="005133D4">
      <w:pPr>
        <w:tabs>
          <w:tab w:val="left" w:pos="993"/>
        </w:tabs>
        <w:ind w:firstLine="567"/>
        <w:jc w:val="both"/>
      </w:pPr>
      <w:r w:rsidRPr="00085715">
        <w:t>Разпределението по дейности е както следва:</w:t>
      </w:r>
    </w:p>
    <w:p w14:paraId="4687DA27" w14:textId="77777777" w:rsidR="006308FC" w:rsidRPr="00085715" w:rsidRDefault="006308FC" w:rsidP="005133D4">
      <w:pPr>
        <w:tabs>
          <w:tab w:val="left" w:pos="993"/>
        </w:tabs>
        <w:ind w:firstLine="567"/>
        <w:jc w:val="both"/>
      </w:pPr>
      <w:r w:rsidRPr="00085715">
        <w:t>-  текущи субсидии по ПМДР – 0,</w:t>
      </w:r>
      <w:r w:rsidR="00085715" w:rsidRPr="00085715">
        <w:t>3</w:t>
      </w:r>
      <w:r w:rsidRPr="00085715">
        <w:t xml:space="preserve"> млн. лв.;</w:t>
      </w:r>
    </w:p>
    <w:p w14:paraId="64C8D552" w14:textId="77777777" w:rsidR="00085715" w:rsidRDefault="006308FC" w:rsidP="00085715">
      <w:pPr>
        <w:tabs>
          <w:tab w:val="left" w:pos="993"/>
        </w:tabs>
        <w:ind w:firstLine="567"/>
        <w:jc w:val="both"/>
        <w:rPr>
          <w:b/>
          <w:i/>
          <w:lang w:eastAsia="bg-BG"/>
        </w:rPr>
      </w:pPr>
      <w:r w:rsidRPr="00085715">
        <w:t>- текущи субсидии по Програмата за развитие на селските райони – 1,</w:t>
      </w:r>
      <w:r w:rsidR="00085715" w:rsidRPr="00085715">
        <w:t>6</w:t>
      </w:r>
      <w:r w:rsidRPr="00085715">
        <w:t xml:space="preserve"> млн. л</w:t>
      </w:r>
      <w:r w:rsidR="00085715" w:rsidRPr="00085715">
        <w:t>е</w:t>
      </w:r>
      <w:r w:rsidRPr="00085715">
        <w:t>в</w:t>
      </w:r>
      <w:r w:rsidR="00085715" w:rsidRPr="00085715">
        <w:t>а</w:t>
      </w:r>
      <w:r w:rsidRPr="00085715">
        <w:t>.</w:t>
      </w:r>
      <w:r w:rsidR="00085715" w:rsidRPr="00085715">
        <w:rPr>
          <w:b/>
          <w:i/>
          <w:lang w:eastAsia="bg-BG"/>
        </w:rPr>
        <w:t xml:space="preserve"> </w:t>
      </w:r>
    </w:p>
    <w:p w14:paraId="07AC8BC0" w14:textId="77777777" w:rsidR="006308FC" w:rsidRPr="00085715" w:rsidRDefault="006308FC" w:rsidP="00085715">
      <w:pPr>
        <w:numPr>
          <w:ilvl w:val="0"/>
          <w:numId w:val="17"/>
        </w:numPr>
        <w:tabs>
          <w:tab w:val="left" w:pos="993"/>
        </w:tabs>
        <w:spacing w:before="120" w:after="120"/>
        <w:ind w:left="1321" w:hanging="612"/>
        <w:jc w:val="both"/>
        <w:rPr>
          <w:b/>
          <w:i/>
          <w:lang w:eastAsia="bg-BG"/>
        </w:rPr>
      </w:pPr>
      <w:r w:rsidRPr="00085715">
        <w:rPr>
          <w:b/>
          <w:i/>
          <w:lang w:eastAsia="bg-BG"/>
        </w:rPr>
        <w:t>Капиталови трансфери за нефинансови предприятия</w:t>
      </w:r>
    </w:p>
    <w:p w14:paraId="0179F9E1" w14:textId="77777777" w:rsidR="006308FC" w:rsidRPr="00085715" w:rsidRDefault="00085715" w:rsidP="005133D4">
      <w:pPr>
        <w:tabs>
          <w:tab w:val="left" w:pos="993"/>
        </w:tabs>
        <w:ind w:firstLine="567"/>
        <w:jc w:val="both"/>
      </w:pPr>
      <w:r w:rsidRPr="00085715">
        <w:t xml:space="preserve">Към края на първото тримесечие на 2025 г. </w:t>
      </w:r>
      <w:r w:rsidR="006308FC" w:rsidRPr="00085715">
        <w:t>за капиталови трансфери за нефинансови предприятия</w:t>
      </w:r>
      <w:r w:rsidRPr="00085715">
        <w:t xml:space="preserve"> по ПРСР</w:t>
      </w:r>
      <w:r w:rsidR="006308FC" w:rsidRPr="00085715">
        <w:t xml:space="preserve"> са </w:t>
      </w:r>
      <w:r w:rsidRPr="00085715">
        <w:t>отчетени</w:t>
      </w:r>
      <w:r w:rsidR="006308FC" w:rsidRPr="00085715">
        <w:t xml:space="preserve"> </w:t>
      </w:r>
      <w:r w:rsidRPr="00085715">
        <w:t>56,9</w:t>
      </w:r>
      <w:r w:rsidR="006308FC" w:rsidRPr="00085715">
        <w:t xml:space="preserve"> млн. л</w:t>
      </w:r>
      <w:r w:rsidRPr="00085715">
        <w:t>е</w:t>
      </w:r>
      <w:r w:rsidR="006308FC" w:rsidRPr="00085715">
        <w:t>в</w:t>
      </w:r>
      <w:r w:rsidRPr="00085715">
        <w:t>а</w:t>
      </w:r>
      <w:r w:rsidR="006308FC" w:rsidRPr="00085715">
        <w:t>. Отчетените за периода 01.01-31.03.202</w:t>
      </w:r>
      <w:r w:rsidRPr="00085715">
        <w:t>4</w:t>
      </w:r>
      <w:r w:rsidR="006308FC" w:rsidRPr="00085715">
        <w:t xml:space="preserve"> г. разходи за капиталови субсидии за физически лица и предприятия са били </w:t>
      </w:r>
      <w:r w:rsidRPr="00085715">
        <w:t>39,8</w:t>
      </w:r>
      <w:r w:rsidR="006308FC" w:rsidRPr="00085715">
        <w:t xml:space="preserve"> млн. л</w:t>
      </w:r>
      <w:r w:rsidRPr="00085715">
        <w:t>е</w:t>
      </w:r>
      <w:r w:rsidR="006308FC" w:rsidRPr="00085715">
        <w:t>в</w:t>
      </w:r>
      <w:r w:rsidRPr="00085715">
        <w:t>а</w:t>
      </w:r>
      <w:r w:rsidR="006308FC" w:rsidRPr="00085715">
        <w:t>.</w:t>
      </w:r>
    </w:p>
    <w:p w14:paraId="3F73D7E6" w14:textId="77777777" w:rsidR="006308FC" w:rsidRPr="00085715" w:rsidRDefault="006308FC" w:rsidP="00FB3C2C">
      <w:pPr>
        <w:numPr>
          <w:ilvl w:val="0"/>
          <w:numId w:val="17"/>
        </w:numPr>
        <w:tabs>
          <w:tab w:val="left" w:pos="993"/>
        </w:tabs>
        <w:spacing w:before="120" w:after="120"/>
        <w:ind w:left="1321" w:hanging="612"/>
        <w:jc w:val="both"/>
        <w:rPr>
          <w:b/>
          <w:i/>
          <w:lang w:eastAsia="bg-BG"/>
        </w:rPr>
      </w:pPr>
      <w:r w:rsidRPr="00085715">
        <w:rPr>
          <w:b/>
          <w:i/>
          <w:lang w:eastAsia="bg-BG"/>
        </w:rPr>
        <w:t>Капиталови трансфери за организации с нестопанска цел</w:t>
      </w:r>
    </w:p>
    <w:p w14:paraId="5A2E5E02" w14:textId="77777777" w:rsidR="006308FC" w:rsidRPr="00C73372" w:rsidRDefault="006308FC" w:rsidP="005133D4">
      <w:pPr>
        <w:ind w:firstLine="567"/>
        <w:jc w:val="both"/>
      </w:pPr>
      <w:r w:rsidRPr="00C73372">
        <w:t>Към 31.03.202</w:t>
      </w:r>
      <w:r w:rsidR="00C73372" w:rsidRPr="00C73372">
        <w:t>5</w:t>
      </w:r>
      <w:r w:rsidRPr="00C73372">
        <w:t xml:space="preserve"> г. </w:t>
      </w:r>
      <w:r w:rsidR="00C73372" w:rsidRPr="00C73372">
        <w:t xml:space="preserve">за капиталови трансфери за организации с нестопанска цел </w:t>
      </w:r>
      <w:r w:rsidRPr="00C73372">
        <w:t>са отчетени 2</w:t>
      </w:r>
      <w:r w:rsidR="00C73372" w:rsidRPr="00C73372">
        <w:t>,0</w:t>
      </w:r>
      <w:r w:rsidRPr="00C73372">
        <w:t xml:space="preserve"> млн. л</w:t>
      </w:r>
      <w:r w:rsidR="00C73372" w:rsidRPr="00C73372">
        <w:t>е</w:t>
      </w:r>
      <w:r w:rsidRPr="00C73372">
        <w:t>в</w:t>
      </w:r>
      <w:r w:rsidR="00C73372" w:rsidRPr="00C73372">
        <w:t>а</w:t>
      </w:r>
      <w:r w:rsidRPr="00C73372">
        <w:t xml:space="preserve">. </w:t>
      </w:r>
      <w:r w:rsidR="00C73372" w:rsidRPr="00C73372">
        <w:t>За</w:t>
      </w:r>
      <w:r w:rsidRPr="00C73372">
        <w:t xml:space="preserve"> същия период на предходната година са отчетени 1,</w:t>
      </w:r>
      <w:r w:rsidR="00C73372" w:rsidRPr="00C73372">
        <w:t>2</w:t>
      </w:r>
      <w:r w:rsidRPr="00C73372">
        <w:t xml:space="preserve"> млн. л</w:t>
      </w:r>
      <w:r w:rsidR="00C73372" w:rsidRPr="00C73372">
        <w:t>е</w:t>
      </w:r>
      <w:r w:rsidRPr="00C73372">
        <w:t>в</w:t>
      </w:r>
      <w:r w:rsidR="00C73372" w:rsidRPr="00C73372">
        <w:t>а</w:t>
      </w:r>
      <w:r w:rsidRPr="00C73372">
        <w:t>.</w:t>
      </w:r>
    </w:p>
    <w:p w14:paraId="3FD954A8" w14:textId="77777777" w:rsidR="006308FC" w:rsidRPr="00C73372" w:rsidRDefault="006308FC" w:rsidP="00FB3C2C">
      <w:pPr>
        <w:numPr>
          <w:ilvl w:val="0"/>
          <w:numId w:val="18"/>
        </w:numPr>
        <w:spacing w:before="120" w:after="120" w:line="276" w:lineRule="auto"/>
        <w:ind w:left="777" w:hanging="357"/>
        <w:jc w:val="both"/>
        <w:rPr>
          <w:b/>
          <w:lang w:eastAsia="bg-BG"/>
        </w:rPr>
      </w:pPr>
      <w:r w:rsidRPr="00C73372">
        <w:rPr>
          <w:b/>
          <w:lang w:eastAsia="bg-BG"/>
        </w:rPr>
        <w:t xml:space="preserve">Трансфери </w:t>
      </w:r>
    </w:p>
    <w:p w14:paraId="0F919A62" w14:textId="77777777" w:rsidR="006308FC" w:rsidRPr="00D7538F" w:rsidRDefault="006308FC" w:rsidP="00730E54">
      <w:pPr>
        <w:pStyle w:val="ListParagraph"/>
        <w:tabs>
          <w:tab w:val="left" w:pos="540"/>
        </w:tabs>
        <w:spacing w:after="0" w:line="240" w:lineRule="auto"/>
        <w:ind w:left="0" w:firstLine="567"/>
        <w:rPr>
          <w:rFonts w:ascii="Times New Roman" w:hAnsi="Times New Roman"/>
        </w:rPr>
      </w:pPr>
      <w:r w:rsidRPr="00D7538F">
        <w:rPr>
          <w:rFonts w:ascii="Times New Roman" w:hAnsi="Times New Roman"/>
        </w:rPr>
        <w:t>В частта на трансферите, в касовия отчет на ДФЗ-РА към 31.03.202</w:t>
      </w:r>
      <w:r w:rsidR="00D7538F" w:rsidRPr="00D7538F">
        <w:rPr>
          <w:rFonts w:ascii="Times New Roman" w:hAnsi="Times New Roman"/>
        </w:rPr>
        <w:t xml:space="preserve">5 </w:t>
      </w:r>
      <w:r w:rsidRPr="00D7538F">
        <w:rPr>
          <w:rFonts w:ascii="Times New Roman" w:hAnsi="Times New Roman"/>
        </w:rPr>
        <w:t>г. са отразени следните касови потоци</w:t>
      </w:r>
      <w:r w:rsidR="00D7538F" w:rsidRPr="00D7538F">
        <w:rPr>
          <w:rFonts w:ascii="Times New Roman" w:hAnsi="Times New Roman"/>
        </w:rPr>
        <w:t>, възлизащи на нето минус 26,5 млн. лв.</w:t>
      </w:r>
      <w:r w:rsidRPr="00D7538F">
        <w:rPr>
          <w:rFonts w:ascii="Times New Roman" w:hAnsi="Times New Roman"/>
        </w:rPr>
        <w:t>:</w:t>
      </w:r>
    </w:p>
    <w:p w14:paraId="5FDC63E9" w14:textId="77777777" w:rsidR="006308FC" w:rsidRPr="00107A38" w:rsidRDefault="006308FC" w:rsidP="00FB3C2C">
      <w:pPr>
        <w:numPr>
          <w:ilvl w:val="0"/>
          <w:numId w:val="17"/>
        </w:numPr>
        <w:tabs>
          <w:tab w:val="left" w:pos="993"/>
        </w:tabs>
        <w:spacing w:before="120" w:after="120"/>
        <w:ind w:left="1321" w:hanging="612"/>
        <w:jc w:val="both"/>
        <w:rPr>
          <w:b/>
          <w:i/>
          <w:lang w:eastAsia="bg-BG"/>
        </w:rPr>
      </w:pPr>
      <w:r w:rsidRPr="00107A38">
        <w:rPr>
          <w:b/>
          <w:i/>
          <w:lang w:eastAsia="bg-BG"/>
        </w:rPr>
        <w:t xml:space="preserve">Трансфери между бюджети и сметки за средства от Европейския съюз </w:t>
      </w:r>
    </w:p>
    <w:p w14:paraId="24F1D855" w14:textId="77777777" w:rsidR="006308FC" w:rsidRPr="00107A38" w:rsidRDefault="00D7538F" w:rsidP="00730E54">
      <w:pPr>
        <w:ind w:firstLine="567"/>
        <w:jc w:val="both"/>
      </w:pPr>
      <w:r w:rsidRPr="00107A38">
        <w:t>Т</w:t>
      </w:r>
      <w:r w:rsidR="006308FC" w:rsidRPr="00107A38">
        <w:t>рансфери</w:t>
      </w:r>
      <w:r w:rsidRPr="00107A38">
        <w:t>те</w:t>
      </w:r>
      <w:r w:rsidR="006308FC" w:rsidRPr="00107A38">
        <w:t xml:space="preserve"> от бюджетни сметки на бюджетни организации и общини са формирани при възстановяване на суми по вземания по ПРСР и директни плащания и техният размер е </w:t>
      </w:r>
      <w:r w:rsidR="00107A38" w:rsidRPr="00107A38">
        <w:t>минус 0,1</w:t>
      </w:r>
      <w:r w:rsidR="006308FC" w:rsidRPr="00107A38">
        <w:t xml:space="preserve"> млн. л</w:t>
      </w:r>
      <w:r w:rsidR="00107A38" w:rsidRPr="00107A38">
        <w:t>е</w:t>
      </w:r>
      <w:r w:rsidR="006308FC" w:rsidRPr="00107A38">
        <w:t>в</w:t>
      </w:r>
      <w:r w:rsidR="00107A38" w:rsidRPr="00107A38">
        <w:t>а</w:t>
      </w:r>
      <w:r w:rsidR="006308FC" w:rsidRPr="00107A38">
        <w:t>.</w:t>
      </w:r>
    </w:p>
    <w:p w14:paraId="6D0503ED" w14:textId="77777777" w:rsidR="006308FC" w:rsidRPr="00107A38" w:rsidRDefault="006308FC" w:rsidP="00730E54">
      <w:pPr>
        <w:ind w:firstLine="567"/>
        <w:jc w:val="both"/>
      </w:pPr>
      <w:r w:rsidRPr="00107A38">
        <w:t>Предоставените за периода трансфери във връзка с чл.14 от Закона за подпомагане на земеделските производители възлизат на 0,</w:t>
      </w:r>
      <w:r w:rsidR="00107A38" w:rsidRPr="00107A38">
        <w:t>2</w:t>
      </w:r>
      <w:r w:rsidRPr="00107A38">
        <w:t xml:space="preserve"> млн. л</w:t>
      </w:r>
      <w:r w:rsidR="00107A38" w:rsidRPr="00107A38">
        <w:t>е</w:t>
      </w:r>
      <w:r w:rsidRPr="00107A38">
        <w:t>в</w:t>
      </w:r>
      <w:r w:rsidR="00107A38" w:rsidRPr="00107A38">
        <w:t>а</w:t>
      </w:r>
      <w:r w:rsidRPr="00107A38">
        <w:t>.</w:t>
      </w:r>
    </w:p>
    <w:p w14:paraId="74748D23" w14:textId="77777777" w:rsidR="006308FC" w:rsidRPr="00107A38" w:rsidRDefault="006308FC" w:rsidP="00FB3C2C">
      <w:pPr>
        <w:numPr>
          <w:ilvl w:val="0"/>
          <w:numId w:val="17"/>
        </w:numPr>
        <w:tabs>
          <w:tab w:val="left" w:pos="993"/>
        </w:tabs>
        <w:spacing w:before="120" w:after="120"/>
        <w:ind w:left="1321" w:hanging="612"/>
        <w:jc w:val="both"/>
        <w:rPr>
          <w:b/>
          <w:i/>
          <w:lang w:eastAsia="bg-BG"/>
        </w:rPr>
      </w:pPr>
      <w:r w:rsidRPr="00107A38">
        <w:rPr>
          <w:b/>
          <w:i/>
          <w:lang w:eastAsia="bg-BG"/>
        </w:rPr>
        <w:t>Трансфери между сметки за средства от Европейския съюз:</w:t>
      </w:r>
    </w:p>
    <w:p w14:paraId="3657633D" w14:textId="77777777" w:rsidR="00107A38" w:rsidRPr="00107A38" w:rsidRDefault="006308FC" w:rsidP="00730E54">
      <w:pPr>
        <w:tabs>
          <w:tab w:val="left" w:pos="540"/>
        </w:tabs>
        <w:ind w:firstLine="567"/>
        <w:jc w:val="both"/>
      </w:pPr>
      <w:r w:rsidRPr="00107A38">
        <w:t>Предоставените трансфери са формирани от изплатените субсидии на публични бенефициенти. Към 31.03.202</w:t>
      </w:r>
      <w:r w:rsidR="00107A38" w:rsidRPr="00107A38">
        <w:t>5</w:t>
      </w:r>
      <w:r w:rsidRPr="00107A38">
        <w:t xml:space="preserve"> г. са отчетени </w:t>
      </w:r>
      <w:r w:rsidR="00107A38" w:rsidRPr="00107A38">
        <w:t>26,2</w:t>
      </w:r>
      <w:r w:rsidRPr="00107A38">
        <w:t xml:space="preserve"> млн. лв., в т.ч.:</w:t>
      </w:r>
    </w:p>
    <w:p w14:paraId="5186E7D0" w14:textId="77777777" w:rsidR="006308FC" w:rsidRPr="00107A38" w:rsidRDefault="00107A38" w:rsidP="00107A38">
      <w:pPr>
        <w:numPr>
          <w:ilvl w:val="0"/>
          <w:numId w:val="23"/>
        </w:numPr>
        <w:tabs>
          <w:tab w:val="left" w:pos="540"/>
          <w:tab w:val="left" w:pos="851"/>
        </w:tabs>
        <w:ind w:left="0" w:firstLine="567"/>
        <w:contextualSpacing/>
        <w:jc w:val="both"/>
      </w:pPr>
      <w:r w:rsidRPr="00107A38">
        <w:t>национално съфинансиране към директни плащания: 0,1 млн. лв.;</w:t>
      </w:r>
      <w:r w:rsidR="006308FC" w:rsidRPr="00107A38">
        <w:t xml:space="preserve"> </w:t>
      </w:r>
    </w:p>
    <w:p w14:paraId="3F77E96F" w14:textId="77777777" w:rsidR="006308FC" w:rsidRPr="00107A38" w:rsidRDefault="006308FC" w:rsidP="00FB3C2C">
      <w:pPr>
        <w:numPr>
          <w:ilvl w:val="0"/>
          <w:numId w:val="23"/>
        </w:numPr>
        <w:tabs>
          <w:tab w:val="left" w:pos="540"/>
          <w:tab w:val="left" w:pos="851"/>
        </w:tabs>
        <w:ind w:left="0" w:firstLine="567"/>
        <w:contextualSpacing/>
        <w:jc w:val="both"/>
      </w:pPr>
      <w:r w:rsidRPr="00107A38">
        <w:t xml:space="preserve">по Програмата за развитие на селските райони: </w:t>
      </w:r>
      <w:r w:rsidR="00107A38" w:rsidRPr="00107A38">
        <w:t>24,7</w:t>
      </w:r>
      <w:r w:rsidRPr="00107A38">
        <w:t xml:space="preserve"> млн. лв.;</w:t>
      </w:r>
    </w:p>
    <w:p w14:paraId="76431D1D" w14:textId="77777777" w:rsidR="006308FC" w:rsidRPr="00107A38" w:rsidRDefault="006308FC" w:rsidP="00FB3C2C">
      <w:pPr>
        <w:numPr>
          <w:ilvl w:val="0"/>
          <w:numId w:val="23"/>
        </w:numPr>
        <w:tabs>
          <w:tab w:val="left" w:pos="540"/>
          <w:tab w:val="left" w:pos="851"/>
        </w:tabs>
        <w:ind w:left="0" w:firstLine="567"/>
        <w:contextualSpacing/>
        <w:jc w:val="both"/>
      </w:pPr>
      <w:r w:rsidRPr="00107A38">
        <w:t xml:space="preserve">по Програмата за морско дело и рибарство: </w:t>
      </w:r>
      <w:r w:rsidR="00107A38" w:rsidRPr="00107A38">
        <w:t>1,4</w:t>
      </w:r>
      <w:r w:rsidRPr="00107A38">
        <w:t xml:space="preserve"> млн. лв.</w:t>
      </w:r>
    </w:p>
    <w:p w14:paraId="07C0E0EB" w14:textId="77777777" w:rsidR="006308FC" w:rsidRPr="00107A38" w:rsidRDefault="006308FC" w:rsidP="00107A38">
      <w:pPr>
        <w:tabs>
          <w:tab w:val="left" w:pos="540"/>
        </w:tabs>
        <w:jc w:val="both"/>
      </w:pPr>
      <w:r w:rsidRPr="00107A38">
        <w:tab/>
        <w:t>Към края на първото тримесечие на 202</w:t>
      </w:r>
      <w:r w:rsidR="00107A38" w:rsidRPr="00107A38">
        <w:t>4</w:t>
      </w:r>
      <w:r w:rsidRPr="00107A38">
        <w:t xml:space="preserve"> г. предоставените трансфери са възлизали на 15</w:t>
      </w:r>
      <w:r w:rsidR="00107A38" w:rsidRPr="00107A38">
        <w:t>,4</w:t>
      </w:r>
      <w:r w:rsidRPr="00107A38">
        <w:t xml:space="preserve"> млн. л</w:t>
      </w:r>
      <w:r w:rsidR="00107A38" w:rsidRPr="00107A38">
        <w:t>е</w:t>
      </w:r>
      <w:r w:rsidRPr="00107A38">
        <w:t>в</w:t>
      </w:r>
      <w:r w:rsidR="00107A38" w:rsidRPr="00107A38">
        <w:t>а</w:t>
      </w:r>
      <w:r w:rsidRPr="00107A38">
        <w:t>.</w:t>
      </w:r>
    </w:p>
    <w:p w14:paraId="0D8142C2" w14:textId="77777777" w:rsidR="006308FC" w:rsidRDefault="006308FC" w:rsidP="00FB3C2C">
      <w:pPr>
        <w:numPr>
          <w:ilvl w:val="0"/>
          <w:numId w:val="18"/>
        </w:numPr>
        <w:spacing w:before="120" w:after="120" w:line="276" w:lineRule="auto"/>
        <w:ind w:left="777" w:hanging="357"/>
        <w:jc w:val="both"/>
        <w:rPr>
          <w:b/>
          <w:lang w:eastAsia="bg-BG"/>
        </w:rPr>
      </w:pPr>
      <w:r w:rsidRPr="00107A38">
        <w:rPr>
          <w:b/>
          <w:lang w:eastAsia="bg-BG"/>
        </w:rPr>
        <w:t>Финансиране</w:t>
      </w:r>
    </w:p>
    <w:p w14:paraId="32EAC679" w14:textId="77777777" w:rsidR="00E11E8D" w:rsidRDefault="00E11E8D" w:rsidP="00E11E8D">
      <w:pPr>
        <w:spacing w:before="120" w:after="120" w:line="276" w:lineRule="auto"/>
        <w:ind w:firstLine="426"/>
        <w:contextualSpacing/>
        <w:jc w:val="both"/>
        <w:rPr>
          <w:lang w:eastAsia="bg-BG"/>
        </w:rPr>
      </w:pPr>
      <w:r w:rsidRPr="00225D21">
        <w:rPr>
          <w:lang w:eastAsia="bg-BG"/>
        </w:rPr>
        <w:t>Отчетената сума от всички операции с финансови активи и пасиви към 31.03.2025</w:t>
      </w:r>
      <w:r>
        <w:rPr>
          <w:lang w:eastAsia="bg-BG"/>
        </w:rPr>
        <w:t xml:space="preserve"> </w:t>
      </w:r>
      <w:r w:rsidRPr="00225D21">
        <w:rPr>
          <w:lang w:eastAsia="bg-BG"/>
        </w:rPr>
        <w:t>г. възлиза на минус 82,6 млн.</w:t>
      </w:r>
      <w:r>
        <w:rPr>
          <w:lang w:eastAsia="bg-BG"/>
        </w:rPr>
        <w:t xml:space="preserve"> </w:t>
      </w:r>
      <w:r w:rsidRPr="00225D21">
        <w:rPr>
          <w:lang w:eastAsia="bg-BG"/>
        </w:rPr>
        <w:t>лв</w:t>
      </w:r>
      <w:r>
        <w:rPr>
          <w:lang w:eastAsia="bg-BG"/>
        </w:rPr>
        <w:t>. и е</w:t>
      </w:r>
      <w:r w:rsidRPr="00225D21">
        <w:rPr>
          <w:lang w:eastAsia="bg-BG"/>
        </w:rPr>
        <w:t xml:space="preserve"> </w:t>
      </w:r>
      <w:r>
        <w:rPr>
          <w:lang w:eastAsia="bg-BG"/>
        </w:rPr>
        <w:t>формирана от:</w:t>
      </w:r>
    </w:p>
    <w:p w14:paraId="73CCDA0F" w14:textId="77777777" w:rsidR="00E11E8D" w:rsidRPr="001B0810" w:rsidRDefault="00E11E8D" w:rsidP="00E11E8D">
      <w:pPr>
        <w:numPr>
          <w:ilvl w:val="0"/>
          <w:numId w:val="17"/>
        </w:numPr>
        <w:tabs>
          <w:tab w:val="left" w:pos="993"/>
        </w:tabs>
        <w:spacing w:before="120" w:after="120"/>
        <w:ind w:left="851" w:hanging="425"/>
        <w:jc w:val="both"/>
        <w:rPr>
          <w:b/>
          <w:lang w:eastAsia="bg-BG"/>
        </w:rPr>
      </w:pPr>
      <w:r w:rsidRPr="001B0810">
        <w:rPr>
          <w:b/>
          <w:lang w:eastAsia="bg-BG"/>
        </w:rPr>
        <w:t>Събрани средства и извършени плащания за сметка на други бюджети</w:t>
      </w:r>
    </w:p>
    <w:p w14:paraId="14D663F1" w14:textId="77777777" w:rsidR="00E11E8D" w:rsidRPr="00E11E8D" w:rsidRDefault="00E11E8D" w:rsidP="00E11E8D">
      <w:pPr>
        <w:tabs>
          <w:tab w:val="left" w:pos="851"/>
        </w:tabs>
        <w:spacing w:before="120" w:after="120"/>
        <w:ind w:firstLine="426"/>
        <w:jc w:val="both"/>
        <w:rPr>
          <w:b/>
          <w:lang w:eastAsia="bg-BG"/>
        </w:rPr>
      </w:pPr>
      <w:r w:rsidRPr="001B0810">
        <w:rPr>
          <w:lang w:eastAsia="bg-BG"/>
        </w:rPr>
        <w:t>Към 31.03.2025</w:t>
      </w:r>
      <w:r>
        <w:rPr>
          <w:lang w:eastAsia="bg-BG"/>
        </w:rPr>
        <w:t xml:space="preserve"> </w:t>
      </w:r>
      <w:r w:rsidRPr="001B0810">
        <w:rPr>
          <w:lang w:eastAsia="bg-BG"/>
        </w:rPr>
        <w:t xml:space="preserve">г. сумата за събрани средства и извършени плащания за сметка на други </w:t>
      </w:r>
      <w:r w:rsidRPr="00E11E8D">
        <w:rPr>
          <w:lang w:eastAsia="bg-BG"/>
        </w:rPr>
        <w:t>бюджети възлиза нето на минус 0,1 млн. лева.</w:t>
      </w:r>
    </w:p>
    <w:p w14:paraId="7FC4DD01" w14:textId="77777777" w:rsidR="006308FC" w:rsidRPr="00E11E8D" w:rsidRDefault="006308FC" w:rsidP="00FB3C2C">
      <w:pPr>
        <w:numPr>
          <w:ilvl w:val="0"/>
          <w:numId w:val="17"/>
        </w:numPr>
        <w:tabs>
          <w:tab w:val="left" w:pos="993"/>
        </w:tabs>
        <w:spacing w:before="120" w:after="120"/>
        <w:ind w:left="851" w:hanging="425"/>
        <w:jc w:val="both"/>
        <w:rPr>
          <w:b/>
          <w:lang w:eastAsia="bg-BG"/>
        </w:rPr>
      </w:pPr>
      <w:r w:rsidRPr="00E11E8D">
        <w:rPr>
          <w:b/>
          <w:lang w:eastAsia="bg-BG"/>
        </w:rPr>
        <w:t>Суми по разчети за поети осигурителни вноски и данъци</w:t>
      </w:r>
    </w:p>
    <w:p w14:paraId="3E5F6201" w14:textId="77777777" w:rsidR="006308FC" w:rsidRPr="00E11E8D" w:rsidRDefault="006308FC" w:rsidP="00730E54">
      <w:pPr>
        <w:ind w:firstLine="567"/>
        <w:jc w:val="both"/>
        <w:rPr>
          <w:lang w:eastAsia="bg-BG"/>
        </w:rPr>
      </w:pPr>
      <w:r w:rsidRPr="00E11E8D">
        <w:rPr>
          <w:lang w:eastAsia="bg-BG"/>
        </w:rPr>
        <w:t>Към края на първото тримесечие на 202</w:t>
      </w:r>
      <w:r w:rsidR="00E11E8D" w:rsidRPr="00E11E8D">
        <w:rPr>
          <w:lang w:eastAsia="bg-BG"/>
        </w:rPr>
        <w:t>5</w:t>
      </w:r>
      <w:r w:rsidRPr="00E11E8D">
        <w:rPr>
          <w:lang w:eastAsia="bg-BG"/>
        </w:rPr>
        <w:t xml:space="preserve"> г. сумата по разчети за поети данъци, формирани от удържан и внесен окончателен данък на физически лица, съгл. чл. 65, ал. 14 от ЗДДФЛ възлиза нето на 0,1 млн. лева.</w:t>
      </w:r>
    </w:p>
    <w:p w14:paraId="6C3F96E7" w14:textId="77777777" w:rsidR="006308FC" w:rsidRPr="00BF6977" w:rsidRDefault="006308FC" w:rsidP="00FB3C2C">
      <w:pPr>
        <w:numPr>
          <w:ilvl w:val="0"/>
          <w:numId w:val="17"/>
        </w:numPr>
        <w:tabs>
          <w:tab w:val="left" w:pos="993"/>
        </w:tabs>
        <w:spacing w:before="120" w:after="120"/>
        <w:ind w:left="851" w:hanging="425"/>
        <w:jc w:val="both"/>
        <w:rPr>
          <w:b/>
          <w:lang w:eastAsia="bg-BG"/>
        </w:rPr>
      </w:pPr>
      <w:r w:rsidRPr="00BF6977">
        <w:rPr>
          <w:b/>
          <w:lang w:eastAsia="bg-BG"/>
        </w:rPr>
        <w:t>Друго финансиране</w:t>
      </w:r>
    </w:p>
    <w:p w14:paraId="5E8D1440" w14:textId="77777777" w:rsidR="006308FC" w:rsidRPr="00BF6977" w:rsidRDefault="006308FC" w:rsidP="00730E54">
      <w:pPr>
        <w:ind w:firstLine="567"/>
        <w:jc w:val="both"/>
        <w:rPr>
          <w:lang w:eastAsia="bg-BG"/>
        </w:rPr>
      </w:pPr>
      <w:r w:rsidRPr="00BF6977">
        <w:rPr>
          <w:lang w:eastAsia="bg-BG"/>
        </w:rPr>
        <w:t>За периода 01.01-31.03.202</w:t>
      </w:r>
      <w:r w:rsidR="00BF6977" w:rsidRPr="00BF6977">
        <w:rPr>
          <w:lang w:eastAsia="bg-BG"/>
        </w:rPr>
        <w:t>5</w:t>
      </w:r>
      <w:r w:rsidRPr="00BF6977">
        <w:rPr>
          <w:lang w:eastAsia="bg-BG"/>
        </w:rPr>
        <w:t xml:space="preserve"> г. извършените плащания, възстановените суми, разчетът с централния бюджет и операциите с чужди средства, включени в отчетността в „Друго финансиране“ възлизат общо на -</w:t>
      </w:r>
      <w:r w:rsidR="00BF6977" w:rsidRPr="00BF6977">
        <w:rPr>
          <w:lang w:eastAsia="bg-BG"/>
        </w:rPr>
        <w:t>82,6</w:t>
      </w:r>
      <w:r w:rsidRPr="00BF6977">
        <w:rPr>
          <w:lang w:eastAsia="bg-BG"/>
        </w:rPr>
        <w:t xml:space="preserve"> млн. л</w:t>
      </w:r>
      <w:r w:rsidR="00BF6977" w:rsidRPr="00BF6977">
        <w:rPr>
          <w:lang w:eastAsia="bg-BG"/>
        </w:rPr>
        <w:t>е</w:t>
      </w:r>
      <w:r w:rsidRPr="00BF6977">
        <w:rPr>
          <w:lang w:eastAsia="bg-BG"/>
        </w:rPr>
        <w:t>в</w:t>
      </w:r>
      <w:r w:rsidR="00BF6977" w:rsidRPr="00BF6977">
        <w:rPr>
          <w:lang w:eastAsia="bg-BG"/>
        </w:rPr>
        <w:t>а</w:t>
      </w:r>
      <w:r w:rsidRPr="00BF6977">
        <w:rPr>
          <w:lang w:eastAsia="bg-BG"/>
        </w:rPr>
        <w:t>.</w:t>
      </w:r>
    </w:p>
    <w:p w14:paraId="654ED0A9" w14:textId="77777777" w:rsidR="006308FC" w:rsidRPr="00BF6977" w:rsidRDefault="006308FC" w:rsidP="00D8300D">
      <w:pPr>
        <w:ind w:firstLine="567"/>
        <w:jc w:val="both"/>
        <w:rPr>
          <w:lang w:eastAsia="bg-BG"/>
        </w:rPr>
      </w:pPr>
      <w:r w:rsidRPr="00BF6977">
        <w:rPr>
          <w:lang w:eastAsia="bg-BG"/>
        </w:rPr>
        <w:t>Към 31.03.202</w:t>
      </w:r>
      <w:r w:rsidR="00BF6977" w:rsidRPr="00BF6977">
        <w:rPr>
          <w:lang w:eastAsia="bg-BG"/>
        </w:rPr>
        <w:t>5</w:t>
      </w:r>
      <w:r w:rsidRPr="00BF6977">
        <w:rPr>
          <w:lang w:eastAsia="bg-BG"/>
        </w:rPr>
        <w:t xml:space="preserve"> г. са отчетени плащания в общ размер на </w:t>
      </w:r>
      <w:r w:rsidR="00BF6977" w:rsidRPr="00BF6977">
        <w:rPr>
          <w:lang w:eastAsia="bg-BG"/>
        </w:rPr>
        <w:t>171</w:t>
      </w:r>
      <w:r w:rsidRPr="00BF6977">
        <w:rPr>
          <w:lang w:eastAsia="bg-BG"/>
        </w:rPr>
        <w:t>,6 млн. л</w:t>
      </w:r>
      <w:r w:rsidR="00BF6977" w:rsidRPr="00BF6977">
        <w:rPr>
          <w:lang w:eastAsia="bg-BG"/>
        </w:rPr>
        <w:t>е</w:t>
      </w:r>
      <w:r w:rsidRPr="00BF6977">
        <w:rPr>
          <w:lang w:eastAsia="bg-BG"/>
        </w:rPr>
        <w:t>в</w:t>
      </w:r>
      <w:r w:rsidR="00BF6977" w:rsidRPr="00BF6977">
        <w:rPr>
          <w:lang w:eastAsia="bg-BG"/>
        </w:rPr>
        <w:t>а</w:t>
      </w:r>
      <w:r w:rsidRPr="00BF6977">
        <w:rPr>
          <w:lang w:eastAsia="bg-BG"/>
        </w:rPr>
        <w:t>. За същия период на 202</w:t>
      </w:r>
      <w:r w:rsidR="00BF6977" w:rsidRPr="00BF6977">
        <w:rPr>
          <w:lang w:eastAsia="bg-BG"/>
        </w:rPr>
        <w:t>4</w:t>
      </w:r>
      <w:r w:rsidRPr="00BF6977">
        <w:rPr>
          <w:lang w:eastAsia="bg-BG"/>
        </w:rPr>
        <w:t xml:space="preserve"> г. плащанията, отчитани като финансиране са били 2</w:t>
      </w:r>
      <w:r w:rsidR="00BF6977" w:rsidRPr="00BF6977">
        <w:rPr>
          <w:lang w:eastAsia="bg-BG"/>
        </w:rPr>
        <w:t>72,6</w:t>
      </w:r>
      <w:r w:rsidRPr="00BF6977">
        <w:rPr>
          <w:lang w:eastAsia="bg-BG"/>
        </w:rPr>
        <w:t xml:space="preserve"> млн. л</w:t>
      </w:r>
      <w:r w:rsidR="00BF6977" w:rsidRPr="00BF6977">
        <w:rPr>
          <w:lang w:eastAsia="bg-BG"/>
        </w:rPr>
        <w:t>е</w:t>
      </w:r>
      <w:r w:rsidRPr="00BF6977">
        <w:rPr>
          <w:lang w:eastAsia="bg-BG"/>
        </w:rPr>
        <w:t>в</w:t>
      </w:r>
      <w:r w:rsidR="00BF6977" w:rsidRPr="00BF6977">
        <w:rPr>
          <w:lang w:eastAsia="bg-BG"/>
        </w:rPr>
        <w:t>а</w:t>
      </w:r>
      <w:r w:rsidRPr="00BF6977">
        <w:rPr>
          <w:lang w:eastAsia="bg-BG"/>
        </w:rPr>
        <w:t>.</w:t>
      </w:r>
    </w:p>
    <w:p w14:paraId="1BA7D570" w14:textId="77777777" w:rsidR="006308FC" w:rsidRPr="00F9741B" w:rsidRDefault="006308FC" w:rsidP="00D8300D">
      <w:pPr>
        <w:ind w:firstLine="567"/>
        <w:jc w:val="both"/>
        <w:rPr>
          <w:szCs w:val="20"/>
        </w:rPr>
      </w:pPr>
      <w:r w:rsidRPr="00F9741B">
        <w:rPr>
          <w:szCs w:val="20"/>
        </w:rPr>
        <w:t>Отчетените плащания са по следните направления:</w:t>
      </w:r>
    </w:p>
    <w:p w14:paraId="10B3EEB3" w14:textId="77777777" w:rsidR="006308FC" w:rsidRPr="00F9741B" w:rsidRDefault="00F9741B" w:rsidP="00FB3C2C">
      <w:pPr>
        <w:numPr>
          <w:ilvl w:val="0"/>
          <w:numId w:val="19"/>
        </w:numPr>
        <w:tabs>
          <w:tab w:val="left" w:pos="851"/>
        </w:tabs>
        <w:ind w:left="851" w:hanging="284"/>
        <w:jc w:val="both"/>
        <w:rPr>
          <w:szCs w:val="20"/>
        </w:rPr>
      </w:pPr>
      <w:r w:rsidRPr="00F9741B">
        <w:rPr>
          <w:szCs w:val="20"/>
        </w:rPr>
        <w:t>159,4</w:t>
      </w:r>
      <w:r w:rsidR="006308FC" w:rsidRPr="00F9741B">
        <w:rPr>
          <w:szCs w:val="20"/>
        </w:rPr>
        <w:t xml:space="preserve"> млн. лв. за директни плащания за сметка на ЕФГЗ;</w:t>
      </w:r>
    </w:p>
    <w:p w14:paraId="61D907AA" w14:textId="77777777" w:rsidR="006308FC" w:rsidRPr="00F9741B" w:rsidRDefault="00F9741B" w:rsidP="00FB3C2C">
      <w:pPr>
        <w:numPr>
          <w:ilvl w:val="0"/>
          <w:numId w:val="19"/>
        </w:numPr>
        <w:tabs>
          <w:tab w:val="left" w:pos="851"/>
        </w:tabs>
        <w:ind w:left="851" w:hanging="284"/>
        <w:jc w:val="both"/>
        <w:rPr>
          <w:szCs w:val="20"/>
        </w:rPr>
      </w:pPr>
      <w:r w:rsidRPr="00F9741B">
        <w:rPr>
          <w:szCs w:val="20"/>
        </w:rPr>
        <w:t>9,6</w:t>
      </w:r>
      <w:r w:rsidR="006308FC" w:rsidRPr="00F9741B">
        <w:rPr>
          <w:szCs w:val="20"/>
        </w:rPr>
        <w:t xml:space="preserve"> млн. лв. средства от ЕЗФРСР, прехвърлени към директни плащания;</w:t>
      </w:r>
    </w:p>
    <w:p w14:paraId="5E07FF44" w14:textId="77777777" w:rsidR="006308FC" w:rsidRPr="00F9741B" w:rsidRDefault="006308FC" w:rsidP="00FB3C2C">
      <w:pPr>
        <w:numPr>
          <w:ilvl w:val="0"/>
          <w:numId w:val="19"/>
        </w:numPr>
        <w:tabs>
          <w:tab w:val="left" w:pos="851"/>
        </w:tabs>
        <w:ind w:left="851" w:hanging="284"/>
        <w:jc w:val="both"/>
        <w:rPr>
          <w:szCs w:val="20"/>
        </w:rPr>
      </w:pPr>
      <w:r w:rsidRPr="00F9741B">
        <w:rPr>
          <w:szCs w:val="20"/>
        </w:rPr>
        <w:t>2,</w:t>
      </w:r>
      <w:r w:rsidR="00F9741B" w:rsidRPr="00F9741B">
        <w:rPr>
          <w:szCs w:val="20"/>
        </w:rPr>
        <w:t>0</w:t>
      </w:r>
      <w:r w:rsidRPr="00F9741B">
        <w:rPr>
          <w:szCs w:val="20"/>
        </w:rPr>
        <w:t xml:space="preserve"> млн. лв. за пазарни</w:t>
      </w:r>
      <w:r w:rsidR="00F9741B" w:rsidRPr="00F9741B">
        <w:rPr>
          <w:szCs w:val="20"/>
        </w:rPr>
        <w:t xml:space="preserve"> мерки</w:t>
      </w:r>
      <w:r w:rsidRPr="00F9741B">
        <w:rPr>
          <w:szCs w:val="20"/>
        </w:rPr>
        <w:t>;</w:t>
      </w:r>
    </w:p>
    <w:p w14:paraId="73D8ACDD" w14:textId="77777777" w:rsidR="006308FC" w:rsidRPr="00F9741B" w:rsidRDefault="006308FC" w:rsidP="00FB3C2C">
      <w:pPr>
        <w:numPr>
          <w:ilvl w:val="0"/>
          <w:numId w:val="19"/>
        </w:numPr>
        <w:tabs>
          <w:tab w:val="left" w:pos="851"/>
        </w:tabs>
        <w:ind w:left="851" w:hanging="284"/>
        <w:jc w:val="both"/>
        <w:rPr>
          <w:szCs w:val="20"/>
        </w:rPr>
      </w:pPr>
      <w:r w:rsidRPr="00F9741B">
        <w:rPr>
          <w:szCs w:val="20"/>
        </w:rPr>
        <w:t>0,</w:t>
      </w:r>
      <w:r w:rsidR="00F9741B" w:rsidRPr="00F9741B">
        <w:rPr>
          <w:szCs w:val="20"/>
        </w:rPr>
        <w:t>6</w:t>
      </w:r>
      <w:r w:rsidRPr="00F9741B">
        <w:rPr>
          <w:szCs w:val="20"/>
        </w:rPr>
        <w:t xml:space="preserve"> млн. лв. за преструктуриране.</w:t>
      </w:r>
    </w:p>
    <w:p w14:paraId="5A6CA055" w14:textId="77777777" w:rsidR="006308FC" w:rsidRPr="00F9741B" w:rsidRDefault="006308FC" w:rsidP="00D8300D">
      <w:pPr>
        <w:tabs>
          <w:tab w:val="left" w:pos="709"/>
        </w:tabs>
        <w:ind w:firstLine="567"/>
        <w:jc w:val="both"/>
        <w:rPr>
          <w:lang w:eastAsia="bg-BG"/>
        </w:rPr>
      </w:pPr>
      <w:r w:rsidRPr="00F9741B">
        <w:rPr>
          <w:lang w:eastAsia="bg-BG"/>
        </w:rPr>
        <w:t>Възстановените суми от Европейския съюз към 31.03.202</w:t>
      </w:r>
      <w:r w:rsidR="00F9741B" w:rsidRPr="00F9741B">
        <w:rPr>
          <w:lang w:eastAsia="bg-BG"/>
        </w:rPr>
        <w:t>5</w:t>
      </w:r>
      <w:r w:rsidRPr="00F9741B">
        <w:rPr>
          <w:lang w:eastAsia="bg-BG"/>
        </w:rPr>
        <w:t xml:space="preserve"> г. възлизат общо на </w:t>
      </w:r>
      <w:r w:rsidR="00F9741B" w:rsidRPr="00F9741B">
        <w:rPr>
          <w:lang w:eastAsia="bg-BG"/>
        </w:rPr>
        <w:t>736,0</w:t>
      </w:r>
      <w:r w:rsidRPr="00F9741B">
        <w:rPr>
          <w:lang w:eastAsia="bg-BG"/>
        </w:rPr>
        <w:t xml:space="preserve"> млн. л</w:t>
      </w:r>
      <w:r w:rsidR="00F9741B" w:rsidRPr="00F9741B">
        <w:rPr>
          <w:lang w:eastAsia="bg-BG"/>
        </w:rPr>
        <w:t>е</w:t>
      </w:r>
      <w:r w:rsidRPr="00F9741B">
        <w:rPr>
          <w:lang w:eastAsia="bg-BG"/>
        </w:rPr>
        <w:t>в</w:t>
      </w:r>
      <w:r w:rsidR="00F9741B" w:rsidRPr="00F9741B">
        <w:rPr>
          <w:lang w:eastAsia="bg-BG"/>
        </w:rPr>
        <w:t>а</w:t>
      </w:r>
      <w:r w:rsidRPr="00F9741B">
        <w:rPr>
          <w:lang w:eastAsia="bg-BG"/>
        </w:rPr>
        <w:t>. Отчетеното изпълнение за периода 01.01-31.03.202</w:t>
      </w:r>
      <w:r w:rsidR="00F9741B" w:rsidRPr="00F9741B">
        <w:rPr>
          <w:lang w:eastAsia="bg-BG"/>
        </w:rPr>
        <w:t>4</w:t>
      </w:r>
      <w:r w:rsidRPr="00F9741B">
        <w:rPr>
          <w:lang w:eastAsia="bg-BG"/>
        </w:rPr>
        <w:t xml:space="preserve"> г. е </w:t>
      </w:r>
      <w:r w:rsidR="00F9741B" w:rsidRPr="00F9741B">
        <w:rPr>
          <w:lang w:eastAsia="bg-BG"/>
        </w:rPr>
        <w:t>594,3</w:t>
      </w:r>
      <w:r w:rsidRPr="00F9741B">
        <w:rPr>
          <w:lang w:eastAsia="bg-BG"/>
        </w:rPr>
        <w:t xml:space="preserve"> млн. л</w:t>
      </w:r>
      <w:r w:rsidR="00F9741B" w:rsidRPr="00F9741B">
        <w:rPr>
          <w:lang w:eastAsia="bg-BG"/>
        </w:rPr>
        <w:t>е</w:t>
      </w:r>
      <w:r w:rsidRPr="00F9741B">
        <w:rPr>
          <w:lang w:eastAsia="bg-BG"/>
        </w:rPr>
        <w:t>в</w:t>
      </w:r>
      <w:r w:rsidR="00F9741B" w:rsidRPr="00F9741B">
        <w:rPr>
          <w:lang w:eastAsia="bg-BG"/>
        </w:rPr>
        <w:t>а</w:t>
      </w:r>
      <w:r w:rsidRPr="00F9741B">
        <w:rPr>
          <w:lang w:eastAsia="bg-BG"/>
        </w:rPr>
        <w:t>.</w:t>
      </w:r>
    </w:p>
    <w:p w14:paraId="144FB513" w14:textId="77777777" w:rsidR="006308FC" w:rsidRPr="00F9741B" w:rsidRDefault="006308FC" w:rsidP="00D8300D">
      <w:pPr>
        <w:tabs>
          <w:tab w:val="left" w:pos="709"/>
        </w:tabs>
        <w:ind w:firstLine="567"/>
        <w:jc w:val="both"/>
        <w:rPr>
          <w:lang w:eastAsia="bg-BG"/>
        </w:rPr>
      </w:pPr>
      <w:r w:rsidRPr="00F9741B">
        <w:rPr>
          <w:lang w:eastAsia="bg-BG"/>
        </w:rPr>
        <w:t>Възстановени са суми по следните направления:</w:t>
      </w:r>
    </w:p>
    <w:p w14:paraId="50E2455C" w14:textId="77777777" w:rsidR="006308FC" w:rsidRPr="00F9741B" w:rsidRDefault="00F9741B" w:rsidP="00FB3C2C">
      <w:pPr>
        <w:numPr>
          <w:ilvl w:val="0"/>
          <w:numId w:val="19"/>
        </w:numPr>
        <w:tabs>
          <w:tab w:val="left" w:pos="851"/>
        </w:tabs>
        <w:ind w:left="851" w:hanging="284"/>
        <w:jc w:val="both"/>
        <w:rPr>
          <w:lang w:eastAsia="bg-BG"/>
        </w:rPr>
      </w:pPr>
      <w:r w:rsidRPr="00F9741B">
        <w:rPr>
          <w:lang w:eastAsia="bg-BG"/>
        </w:rPr>
        <w:t>710,1</w:t>
      </w:r>
      <w:r w:rsidR="006308FC" w:rsidRPr="00F9741B">
        <w:rPr>
          <w:lang w:eastAsia="bg-BG"/>
        </w:rPr>
        <w:t xml:space="preserve"> млн. лв. за директни плащания от ЕФГЗ;</w:t>
      </w:r>
    </w:p>
    <w:p w14:paraId="138BC1C0" w14:textId="77777777" w:rsidR="006308FC" w:rsidRPr="00F9741B" w:rsidRDefault="006308FC" w:rsidP="00FB3C2C">
      <w:pPr>
        <w:numPr>
          <w:ilvl w:val="0"/>
          <w:numId w:val="19"/>
        </w:numPr>
        <w:tabs>
          <w:tab w:val="left" w:pos="851"/>
        </w:tabs>
        <w:ind w:left="851" w:hanging="284"/>
        <w:jc w:val="both"/>
        <w:rPr>
          <w:lang w:eastAsia="bg-BG"/>
        </w:rPr>
      </w:pPr>
      <w:r w:rsidRPr="00F9741B">
        <w:rPr>
          <w:lang w:eastAsia="bg-BG"/>
        </w:rPr>
        <w:t>2</w:t>
      </w:r>
      <w:r w:rsidR="00F9741B" w:rsidRPr="00F9741B">
        <w:rPr>
          <w:lang w:eastAsia="bg-BG"/>
        </w:rPr>
        <w:t>4,4</w:t>
      </w:r>
      <w:r w:rsidRPr="00F9741B">
        <w:rPr>
          <w:lang w:eastAsia="bg-BG"/>
        </w:rPr>
        <w:t xml:space="preserve"> млн. лв. от ЕЗФРСР, прехвърлени към директни плащания;</w:t>
      </w:r>
    </w:p>
    <w:p w14:paraId="7394A8BB" w14:textId="77777777" w:rsidR="006308FC" w:rsidRPr="00F9741B" w:rsidRDefault="00F9741B" w:rsidP="00FB3C2C">
      <w:pPr>
        <w:numPr>
          <w:ilvl w:val="0"/>
          <w:numId w:val="19"/>
        </w:numPr>
        <w:tabs>
          <w:tab w:val="left" w:pos="851"/>
        </w:tabs>
        <w:ind w:left="851" w:hanging="284"/>
        <w:jc w:val="both"/>
        <w:rPr>
          <w:lang w:eastAsia="bg-BG"/>
        </w:rPr>
      </w:pPr>
      <w:r w:rsidRPr="00F9741B">
        <w:rPr>
          <w:lang w:eastAsia="bg-BG"/>
        </w:rPr>
        <w:t>1,5</w:t>
      </w:r>
      <w:r w:rsidR="006308FC" w:rsidRPr="00F9741B">
        <w:rPr>
          <w:lang w:eastAsia="bg-BG"/>
        </w:rPr>
        <w:t xml:space="preserve"> млн. лв. за пазарни мерки от ЕФГЗ</w:t>
      </w:r>
      <w:r w:rsidRPr="00F9741B">
        <w:rPr>
          <w:lang w:eastAsia="bg-BG"/>
        </w:rPr>
        <w:t>.</w:t>
      </w:r>
    </w:p>
    <w:p w14:paraId="291A00CD" w14:textId="77777777" w:rsidR="006308FC" w:rsidRPr="00F9741B" w:rsidRDefault="006308FC" w:rsidP="00D8300D">
      <w:pPr>
        <w:tabs>
          <w:tab w:val="left" w:pos="709"/>
        </w:tabs>
        <w:spacing w:after="120"/>
        <w:ind w:firstLine="567"/>
        <w:contextualSpacing/>
        <w:jc w:val="both"/>
      </w:pPr>
      <w:r w:rsidRPr="00F9741B">
        <w:rPr>
          <w:lang w:eastAsia="bg-BG"/>
        </w:rPr>
        <w:t xml:space="preserve">Предоставените суми (нето) </w:t>
      </w:r>
      <w:r w:rsidRPr="00F9741B">
        <w:t>по разчети с ЦБ за финансиране на плащания при недостиг на средства по сметки</w:t>
      </w:r>
      <w:r w:rsidRPr="00F9741B">
        <w:rPr>
          <w:lang w:eastAsia="bg-BG"/>
        </w:rPr>
        <w:t xml:space="preserve"> към 31.03.202</w:t>
      </w:r>
      <w:r w:rsidR="00F9741B" w:rsidRPr="00F9741B">
        <w:rPr>
          <w:lang w:eastAsia="bg-BG"/>
        </w:rPr>
        <w:t>5</w:t>
      </w:r>
      <w:r w:rsidRPr="00F9741B">
        <w:rPr>
          <w:lang w:eastAsia="bg-BG"/>
        </w:rPr>
        <w:t xml:space="preserve"> г. възлизат на -</w:t>
      </w:r>
      <w:r w:rsidR="00F9741B" w:rsidRPr="00F9741B">
        <w:rPr>
          <w:lang w:eastAsia="bg-BG"/>
        </w:rPr>
        <w:t>647,0</w:t>
      </w:r>
      <w:r w:rsidRPr="00F9741B">
        <w:rPr>
          <w:lang w:eastAsia="bg-BG"/>
        </w:rPr>
        <w:t xml:space="preserve"> млн. л</w:t>
      </w:r>
      <w:r w:rsidR="00F9741B" w:rsidRPr="00F9741B">
        <w:rPr>
          <w:lang w:eastAsia="bg-BG"/>
        </w:rPr>
        <w:t>е</w:t>
      </w:r>
      <w:r w:rsidRPr="00F9741B">
        <w:rPr>
          <w:lang w:eastAsia="bg-BG"/>
        </w:rPr>
        <w:t>в</w:t>
      </w:r>
      <w:r w:rsidR="00F9741B" w:rsidRPr="00F9741B">
        <w:rPr>
          <w:lang w:eastAsia="bg-BG"/>
        </w:rPr>
        <w:t>а</w:t>
      </w:r>
      <w:r w:rsidRPr="00F9741B">
        <w:rPr>
          <w:lang w:eastAsia="bg-BG"/>
        </w:rPr>
        <w:t>.</w:t>
      </w:r>
    </w:p>
    <w:p w14:paraId="659D7D7B" w14:textId="77777777" w:rsidR="00EB292B" w:rsidRPr="00F9741B" w:rsidRDefault="00EB292B" w:rsidP="00EB292B">
      <w:pPr>
        <w:tabs>
          <w:tab w:val="left" w:pos="540"/>
        </w:tabs>
        <w:spacing w:before="120"/>
        <w:ind w:firstLine="567"/>
        <w:jc w:val="both"/>
      </w:pPr>
      <w:r w:rsidRPr="00F9741B">
        <w:rPr>
          <w:lang w:eastAsia="bg-BG"/>
        </w:rPr>
        <w:tab/>
      </w:r>
    </w:p>
    <w:p w14:paraId="65E3BCAF" w14:textId="77777777" w:rsidR="00EB292B" w:rsidRPr="008F5136" w:rsidRDefault="00EB292B" w:rsidP="005F1F3A">
      <w:pPr>
        <w:pStyle w:val="Heading1"/>
        <w:numPr>
          <w:ilvl w:val="1"/>
          <w:numId w:val="8"/>
        </w:numPr>
        <w:spacing w:after="120"/>
        <w:ind w:left="792" w:right="-115" w:hanging="432"/>
        <w:jc w:val="both"/>
        <w:rPr>
          <w:sz w:val="24"/>
        </w:rPr>
      </w:pPr>
      <w:bookmarkStart w:id="54" w:name="_Toc83045529"/>
      <w:r w:rsidRPr="008F5136">
        <w:rPr>
          <w:sz w:val="24"/>
        </w:rPr>
        <w:t>Сметка за средствата от Европейския съюз на Национален фонд към Министерство на финансите</w:t>
      </w:r>
      <w:bookmarkEnd w:id="54"/>
    </w:p>
    <w:p w14:paraId="6CCA8014" w14:textId="77777777" w:rsidR="005F1F3A" w:rsidRPr="00A305FA" w:rsidRDefault="005F1F3A" w:rsidP="005F1F3A">
      <w:pPr>
        <w:ind w:firstLine="686"/>
        <w:jc w:val="both"/>
        <w:rPr>
          <w:bCs/>
        </w:rPr>
      </w:pPr>
      <w:r w:rsidRPr="00A63F86">
        <w:rPr>
          <w:bCs/>
        </w:rPr>
        <w:t>По сметките на НФ към 3</w:t>
      </w:r>
      <w:r w:rsidRPr="00A63F86">
        <w:rPr>
          <w:bCs/>
          <w:lang w:val="ru-RU"/>
        </w:rPr>
        <w:t>1</w:t>
      </w:r>
      <w:r w:rsidRPr="00A63F86">
        <w:rPr>
          <w:bCs/>
        </w:rPr>
        <w:t>.</w:t>
      </w:r>
      <w:r w:rsidRPr="00A63F86">
        <w:rPr>
          <w:bCs/>
          <w:lang w:val="ru-RU"/>
        </w:rPr>
        <w:t>03</w:t>
      </w:r>
      <w:r w:rsidRPr="00A63F86">
        <w:rPr>
          <w:bCs/>
        </w:rPr>
        <w:t xml:space="preserve">.2025 г. са постъпили приходи (нето) в размер на </w:t>
      </w:r>
      <w:r w:rsidRPr="005F1F3A">
        <w:rPr>
          <w:bCs/>
          <w:lang w:val="ru-RU"/>
        </w:rPr>
        <w:t>143</w:t>
      </w:r>
      <w:r>
        <w:rPr>
          <w:bCs/>
          <w:lang w:val="ru-RU"/>
        </w:rPr>
        <w:t>,</w:t>
      </w:r>
      <w:r w:rsidRPr="005F1F3A">
        <w:rPr>
          <w:bCs/>
          <w:lang w:val="ru-RU"/>
        </w:rPr>
        <w:t xml:space="preserve">9 </w:t>
      </w:r>
      <w:r w:rsidRPr="00A63F86">
        <w:rPr>
          <w:bCs/>
        </w:rPr>
        <w:t>млн.</w:t>
      </w:r>
      <w:r>
        <w:rPr>
          <w:bCs/>
        </w:rPr>
        <w:t> </w:t>
      </w:r>
      <w:r w:rsidRPr="00A63F86">
        <w:rPr>
          <w:bCs/>
        </w:rPr>
        <w:t>лв</w:t>
      </w:r>
      <w:r>
        <w:rPr>
          <w:bCs/>
        </w:rPr>
        <w:t>.</w:t>
      </w:r>
      <w:r w:rsidRPr="00A63F86">
        <w:rPr>
          <w:bCs/>
        </w:rPr>
        <w:t xml:space="preserve"> по програмите, съфинансирани от Европейския фонд за регионално развитие, Европейския социален фонд (включително Инициативата за младежка заетост), Кохезионния фонд на ЕС за финансовата рамка, както Европейския социален фонд+, ФМ на ЕИП 2014–2021 г., НФМ 2014–2021 г. и Швейцарско-българската програма за сътрудничество (ШБПС), като в тази сума са включени и отразените (нето) в отчетността на НФ операции по постъпването по банковите бюджетни сметки на Министерство на регионалното развитие и благоустройството (МРРБ) на чуждото финансиране по двустранните програми за трансгранично сътрудничество по външните граници на EС (ПТСВГ) и изплатените средства от </w:t>
      </w:r>
      <w:r w:rsidRPr="00A305FA">
        <w:rPr>
          <w:bCs/>
        </w:rPr>
        <w:t>получения ресурс към бенефициенти извън страната.</w:t>
      </w:r>
    </w:p>
    <w:p w14:paraId="2FA07ECB" w14:textId="77777777" w:rsidR="005F1F3A" w:rsidRPr="00A55046" w:rsidRDefault="005F1F3A" w:rsidP="005F1F3A">
      <w:pPr>
        <w:ind w:firstLine="686"/>
        <w:jc w:val="both"/>
        <w:rPr>
          <w:bCs/>
        </w:rPr>
      </w:pPr>
      <w:r w:rsidRPr="00A55046">
        <w:rPr>
          <w:bCs/>
        </w:rPr>
        <w:t xml:space="preserve">Извършените разходи (нето) за периода с натрупване чрез сметките на НФ възлизат на </w:t>
      </w:r>
      <w:r w:rsidRPr="005F1F3A">
        <w:rPr>
          <w:bCs/>
          <w:lang w:val="ru-RU"/>
        </w:rPr>
        <w:t>234</w:t>
      </w:r>
      <w:r>
        <w:rPr>
          <w:bCs/>
          <w:lang w:val="ru-RU"/>
        </w:rPr>
        <w:t>,</w:t>
      </w:r>
      <w:r w:rsidRPr="005F1F3A">
        <w:rPr>
          <w:bCs/>
          <w:lang w:val="ru-RU"/>
        </w:rPr>
        <w:t>4</w:t>
      </w:r>
      <w:r w:rsidRPr="00A55046">
        <w:rPr>
          <w:bCs/>
        </w:rPr>
        <w:t xml:space="preserve"> млн. лева. По видове разходи изпълнението е както следва: </w:t>
      </w:r>
      <w:r w:rsidRPr="005F1F3A">
        <w:rPr>
          <w:bCs/>
          <w:lang w:val="ru-RU"/>
        </w:rPr>
        <w:t>76</w:t>
      </w:r>
      <w:r w:rsidRPr="00A55046">
        <w:rPr>
          <w:bCs/>
        </w:rPr>
        <w:t>,</w:t>
      </w:r>
      <w:r w:rsidRPr="005F1F3A">
        <w:rPr>
          <w:bCs/>
          <w:lang w:val="ru-RU"/>
        </w:rPr>
        <w:t>5</w:t>
      </w:r>
      <w:r>
        <w:rPr>
          <w:bCs/>
          <w:lang w:val="ru-RU"/>
        </w:rPr>
        <w:t xml:space="preserve"> </w:t>
      </w:r>
      <w:r w:rsidRPr="00A55046">
        <w:rPr>
          <w:bCs/>
        </w:rPr>
        <w:t xml:space="preserve">% от общата стойност са капиталови трансфери, </w:t>
      </w:r>
      <w:r w:rsidRPr="005F1F3A">
        <w:rPr>
          <w:bCs/>
          <w:lang w:val="ru-RU"/>
        </w:rPr>
        <w:t>18</w:t>
      </w:r>
      <w:r w:rsidRPr="00A55046">
        <w:rPr>
          <w:bCs/>
        </w:rPr>
        <w:t>,</w:t>
      </w:r>
      <w:r w:rsidRPr="005F1F3A">
        <w:rPr>
          <w:bCs/>
          <w:lang w:val="ru-RU"/>
        </w:rPr>
        <w:t>1</w:t>
      </w:r>
      <w:r>
        <w:rPr>
          <w:bCs/>
          <w:lang w:val="ru-RU"/>
        </w:rPr>
        <w:t xml:space="preserve"> </w:t>
      </w:r>
      <w:r w:rsidRPr="00A55046">
        <w:rPr>
          <w:bCs/>
        </w:rPr>
        <w:t>% са субсидии и 5,4</w:t>
      </w:r>
      <w:r>
        <w:rPr>
          <w:bCs/>
        </w:rPr>
        <w:t xml:space="preserve"> </w:t>
      </w:r>
      <w:r w:rsidRPr="00A55046">
        <w:rPr>
          <w:bCs/>
        </w:rPr>
        <w:t>% предоставени текущи и капиталови трансфери за чужбина.</w:t>
      </w:r>
    </w:p>
    <w:p w14:paraId="3B2D1194" w14:textId="77777777" w:rsidR="005F1F3A" w:rsidRPr="00702A43" w:rsidRDefault="005F1F3A" w:rsidP="005F1F3A">
      <w:pPr>
        <w:ind w:firstLine="686"/>
        <w:jc w:val="both"/>
        <w:rPr>
          <w:bCs/>
          <w:color w:val="365F91" w:themeColor="accent1" w:themeShade="BF"/>
        </w:rPr>
      </w:pPr>
      <w:r w:rsidRPr="00025787">
        <w:rPr>
          <w:bCs/>
        </w:rPr>
        <w:t>Трансферите (нето), временните безлихвени заеми (нето) и временна възмездна финансова помощ за разглеждания период са на стойност 554</w:t>
      </w:r>
      <w:r>
        <w:rPr>
          <w:bCs/>
        </w:rPr>
        <w:t>,</w:t>
      </w:r>
      <w:r w:rsidRPr="00025787">
        <w:rPr>
          <w:bCs/>
        </w:rPr>
        <w:t>4 млн. лв. (включват предоставените трансфери към бенефициенти по Оперативните програми (ОП) на ЕС - програмен период 2014 – 2020 г. и програмен период 2021 – 2027 г., ПТСВГ за периода 2014 – 2020 г. и програмен период 2021 – 2027 г., Националния план за възстановяване и устойчивост (НПВУ), ФМ на ЕИП 2014–2021 г. и НФМ 2014–2021 г., както и възстановени трансфери от бенефициенти-бюджетни организации за неусвоени суми по приключили проекти, за недопустими разходи или други надплащания. В консолидираната отчетност на НФ са отразени и трансфери (нето) към бенефициенти – бюджетни организации, които са за сметка на средства, предоставени от държавите-партньори по ПТСВГ.</w:t>
      </w:r>
    </w:p>
    <w:p w14:paraId="4B0840D1" w14:textId="77777777" w:rsidR="005F1F3A" w:rsidRPr="00F17755" w:rsidRDefault="005F1F3A" w:rsidP="005F1F3A">
      <w:pPr>
        <w:ind w:firstLine="686"/>
        <w:jc w:val="both"/>
        <w:rPr>
          <w:bCs/>
        </w:rPr>
      </w:pPr>
      <w:r w:rsidRPr="00F17755">
        <w:rPr>
          <w:bCs/>
        </w:rPr>
        <w:t>Във връзка с изпълнение на програмите и проектите по програмен период 2014 – 2020 г., 2021 – 2027 г., ФМ на ЕИП и НФМ и НПВУ по сметките на НФ са получени трансфери от централния бюджет на стойност 110</w:t>
      </w:r>
      <w:r>
        <w:rPr>
          <w:bCs/>
        </w:rPr>
        <w:t>,</w:t>
      </w:r>
      <w:r w:rsidRPr="00F17755">
        <w:rPr>
          <w:bCs/>
        </w:rPr>
        <w:t>8 млн. лева.</w:t>
      </w:r>
    </w:p>
    <w:p w14:paraId="16AB7AE7" w14:textId="77777777" w:rsidR="005F1F3A" w:rsidRPr="00F17755" w:rsidRDefault="005F1F3A" w:rsidP="005F1F3A">
      <w:pPr>
        <w:ind w:firstLine="686"/>
        <w:jc w:val="both"/>
        <w:rPr>
          <w:bCs/>
        </w:rPr>
      </w:pPr>
      <w:r w:rsidRPr="00F17755">
        <w:rPr>
          <w:bCs/>
        </w:rPr>
        <w:t>Общата сума от други приходи (корективи за касови постъпления, отчетени за дължими суми от бенефициенти), отчетени по сметката за средства от ЕС на НФ, са в размер на 0</w:t>
      </w:r>
      <w:r>
        <w:rPr>
          <w:bCs/>
        </w:rPr>
        <w:t>,</w:t>
      </w:r>
      <w:r w:rsidRPr="00F17755">
        <w:rPr>
          <w:bCs/>
        </w:rPr>
        <w:t>1 млн.</w:t>
      </w:r>
      <w:r>
        <w:rPr>
          <w:bCs/>
        </w:rPr>
        <w:t> </w:t>
      </w:r>
      <w:r w:rsidRPr="00F17755">
        <w:rPr>
          <w:bCs/>
        </w:rPr>
        <w:t>лева.</w:t>
      </w:r>
    </w:p>
    <w:p w14:paraId="4B96B5C0" w14:textId="77777777" w:rsidR="005F1F3A" w:rsidRPr="00CD1F5E" w:rsidRDefault="005F1F3A" w:rsidP="005F1F3A">
      <w:pPr>
        <w:spacing w:before="120"/>
        <w:ind w:firstLine="686"/>
        <w:jc w:val="both"/>
        <w:rPr>
          <w:b/>
          <w:bCs/>
        </w:rPr>
      </w:pPr>
      <w:r w:rsidRPr="00CD1F5E">
        <w:rPr>
          <w:b/>
          <w:bCs/>
        </w:rPr>
        <w:t>Структурни и Кохезионен фондове (СКФ) 2007 – 2013 г.</w:t>
      </w:r>
    </w:p>
    <w:p w14:paraId="6FC76BAD" w14:textId="77777777" w:rsidR="005F1F3A" w:rsidRPr="00CD1F5E" w:rsidRDefault="005F1F3A" w:rsidP="005F1F3A">
      <w:pPr>
        <w:spacing w:before="120"/>
        <w:ind w:firstLine="686"/>
        <w:jc w:val="both"/>
      </w:pPr>
      <w:r w:rsidRPr="00CD1F5E">
        <w:rPr>
          <w:bCs/>
        </w:rPr>
        <w:t>През отчетния период са отчетени (нето) възстановени суми от бенефициенти на стойност на 0</w:t>
      </w:r>
      <w:r>
        <w:rPr>
          <w:bCs/>
        </w:rPr>
        <w:t>,</w:t>
      </w:r>
      <w:r w:rsidRPr="00CD1F5E">
        <w:rPr>
          <w:bCs/>
        </w:rPr>
        <w:t>006 млн. л</w:t>
      </w:r>
      <w:r>
        <w:rPr>
          <w:bCs/>
        </w:rPr>
        <w:t>е</w:t>
      </w:r>
      <w:r w:rsidRPr="00CD1F5E">
        <w:rPr>
          <w:bCs/>
        </w:rPr>
        <w:t>в</w:t>
      </w:r>
      <w:r>
        <w:rPr>
          <w:bCs/>
        </w:rPr>
        <w:t>а</w:t>
      </w:r>
      <w:r w:rsidRPr="00CD1F5E">
        <w:rPr>
          <w:bCs/>
        </w:rPr>
        <w:t>.</w:t>
      </w:r>
    </w:p>
    <w:p w14:paraId="507ABF63" w14:textId="77777777" w:rsidR="005F1F3A" w:rsidRPr="00246F95" w:rsidRDefault="005F1F3A" w:rsidP="005F1F3A">
      <w:pPr>
        <w:spacing w:before="120"/>
        <w:ind w:firstLine="686"/>
        <w:jc w:val="both"/>
        <w:rPr>
          <w:b/>
          <w:bCs/>
        </w:rPr>
      </w:pPr>
      <w:r w:rsidRPr="00246F95">
        <w:rPr>
          <w:bCs/>
        </w:rPr>
        <w:t xml:space="preserve"> </w:t>
      </w:r>
      <w:r w:rsidRPr="00246F95">
        <w:rPr>
          <w:b/>
          <w:bCs/>
        </w:rPr>
        <w:t>Европейски фонд за регионално развитие, Европейски социален фонд (включително Инициативата за младежка заетост), Кохезионния фонд и ФЕПНЛ на Европейския съюз за финансова рамка 2014 – 2020 г.</w:t>
      </w:r>
    </w:p>
    <w:p w14:paraId="100D1667" w14:textId="77777777" w:rsidR="005F1F3A" w:rsidRPr="00013145" w:rsidRDefault="005F1F3A" w:rsidP="005F1F3A">
      <w:pPr>
        <w:spacing w:before="120"/>
        <w:ind w:left="720"/>
        <w:rPr>
          <w:bCs/>
        </w:rPr>
      </w:pPr>
      <w:r w:rsidRPr="00246F95">
        <w:rPr>
          <w:bCs/>
        </w:rPr>
        <w:t xml:space="preserve"> През отчетния период няма получени средства от </w:t>
      </w:r>
      <w:r w:rsidRPr="00013145">
        <w:rPr>
          <w:bCs/>
        </w:rPr>
        <w:t>ЕК.</w:t>
      </w:r>
    </w:p>
    <w:p w14:paraId="6121344C" w14:textId="77777777" w:rsidR="005F1F3A" w:rsidRPr="001059D6" w:rsidRDefault="005F1F3A" w:rsidP="005F1F3A">
      <w:pPr>
        <w:spacing w:before="120"/>
        <w:ind w:firstLine="708"/>
        <w:jc w:val="both"/>
        <w:rPr>
          <w:bCs/>
        </w:rPr>
      </w:pPr>
      <w:r>
        <w:rPr>
          <w:bCs/>
        </w:rPr>
        <w:t xml:space="preserve"> </w:t>
      </w:r>
      <w:r w:rsidRPr="001059D6">
        <w:rPr>
          <w:bCs/>
        </w:rPr>
        <w:t xml:space="preserve"> Направените разходи (нето) по Оперативни програми и трансферите (нето) към бюджетни организации и операции с активи за периода са на стойност 14</w:t>
      </w:r>
      <w:r>
        <w:rPr>
          <w:bCs/>
        </w:rPr>
        <w:t>,</w:t>
      </w:r>
      <w:r w:rsidRPr="001059D6">
        <w:rPr>
          <w:bCs/>
        </w:rPr>
        <w:t>4 млн. лв. (в тях влизат и извършените разходи по REACT-EU).</w:t>
      </w:r>
    </w:p>
    <w:p w14:paraId="51E0415E" w14:textId="77777777" w:rsidR="005F1F3A" w:rsidRPr="00A45A4F" w:rsidRDefault="005F1F3A" w:rsidP="005F1F3A">
      <w:pPr>
        <w:spacing w:before="120"/>
        <w:ind w:firstLine="686"/>
        <w:jc w:val="both"/>
        <w:rPr>
          <w:bCs/>
        </w:rPr>
      </w:pPr>
      <w:r w:rsidRPr="00A45A4F">
        <w:t>Възстановеното авансово финансиране по реда на ДДС6/2011 г. е в размер на 0</w:t>
      </w:r>
      <w:r>
        <w:t>,</w:t>
      </w:r>
      <w:r w:rsidRPr="00A45A4F">
        <w:t>2 млн.</w:t>
      </w:r>
      <w:r>
        <w:t> </w:t>
      </w:r>
      <w:r w:rsidRPr="00A45A4F">
        <w:t>лева.</w:t>
      </w:r>
    </w:p>
    <w:p w14:paraId="2338935C" w14:textId="77777777" w:rsidR="005F1F3A" w:rsidRPr="00B14A46" w:rsidRDefault="005F1F3A" w:rsidP="005F1F3A">
      <w:pPr>
        <w:spacing w:before="120"/>
        <w:ind w:firstLine="686"/>
        <w:jc w:val="both"/>
        <w:rPr>
          <w:b/>
          <w:bCs/>
        </w:rPr>
      </w:pPr>
      <w:r w:rsidRPr="00B14A46">
        <w:rPr>
          <w:b/>
          <w:bCs/>
        </w:rPr>
        <w:t>Европейския социален фонд+, Европейския фонд за регионално развитие (включително Фонда за справедлив преход) и Кохезионния фонд за програмен период 2021-2027 г.</w:t>
      </w:r>
    </w:p>
    <w:p w14:paraId="4C79EC97" w14:textId="77777777" w:rsidR="005F1F3A" w:rsidRPr="00B14A46" w:rsidRDefault="005F1F3A" w:rsidP="005F1F3A">
      <w:pPr>
        <w:spacing w:before="120"/>
        <w:ind w:firstLine="426"/>
        <w:rPr>
          <w:bCs/>
        </w:rPr>
      </w:pPr>
      <w:r w:rsidRPr="00B14A46">
        <w:rPr>
          <w:bCs/>
        </w:rPr>
        <w:t>Получените средства (нето) от ЕК за периода са в размер на 137</w:t>
      </w:r>
      <w:r>
        <w:rPr>
          <w:bCs/>
        </w:rPr>
        <w:t>,</w:t>
      </w:r>
      <w:r w:rsidRPr="00B14A46">
        <w:rPr>
          <w:bCs/>
        </w:rPr>
        <w:t>4 млн. лв.</w:t>
      </w:r>
      <w:r w:rsidRPr="005F1F3A">
        <w:rPr>
          <w:bCs/>
          <w:lang w:val="ru-RU"/>
        </w:rPr>
        <w:t xml:space="preserve"> </w:t>
      </w:r>
      <w:r w:rsidRPr="00B14A46">
        <w:rPr>
          <w:bCs/>
        </w:rPr>
        <w:t>и са разпределени както следва:</w:t>
      </w:r>
    </w:p>
    <w:p w14:paraId="7C763139" w14:textId="77777777" w:rsidR="005F1F3A" w:rsidRPr="00B14A46" w:rsidRDefault="005F1F3A" w:rsidP="005F1F3A">
      <w:pPr>
        <w:numPr>
          <w:ilvl w:val="0"/>
          <w:numId w:val="10"/>
        </w:numPr>
        <w:tabs>
          <w:tab w:val="clear" w:pos="1101"/>
          <w:tab w:val="num" w:pos="786"/>
        </w:tabs>
        <w:ind w:left="786"/>
        <w:jc w:val="both"/>
        <w:rPr>
          <w:bCs/>
        </w:rPr>
      </w:pPr>
      <w:r w:rsidRPr="00B14A46">
        <w:rPr>
          <w:bCs/>
        </w:rPr>
        <w:t xml:space="preserve">Програма „Развитие на човешките ресурси” 2021-2027 г. – </w:t>
      </w:r>
      <w:r w:rsidRPr="005F1F3A">
        <w:rPr>
          <w:bCs/>
          <w:lang w:val="ru-RU"/>
        </w:rPr>
        <w:t>30</w:t>
      </w:r>
      <w:r>
        <w:rPr>
          <w:bCs/>
          <w:lang w:val="ru-RU"/>
        </w:rPr>
        <w:t>,</w:t>
      </w:r>
      <w:r w:rsidRPr="005F1F3A">
        <w:rPr>
          <w:bCs/>
          <w:lang w:val="ru-RU"/>
        </w:rPr>
        <w:t>8</w:t>
      </w:r>
      <w:r w:rsidRPr="00B14A46">
        <w:rPr>
          <w:bCs/>
        </w:rPr>
        <w:t xml:space="preserve"> млн. лв.;  </w:t>
      </w:r>
    </w:p>
    <w:p w14:paraId="5D4B45C6" w14:textId="77777777" w:rsidR="005F1F3A" w:rsidRPr="00B14A46" w:rsidRDefault="005F1F3A" w:rsidP="005F1F3A">
      <w:pPr>
        <w:numPr>
          <w:ilvl w:val="0"/>
          <w:numId w:val="10"/>
        </w:numPr>
        <w:tabs>
          <w:tab w:val="clear" w:pos="1101"/>
          <w:tab w:val="num" w:pos="786"/>
        </w:tabs>
        <w:ind w:left="786"/>
        <w:jc w:val="both"/>
        <w:rPr>
          <w:bCs/>
        </w:rPr>
      </w:pPr>
      <w:r w:rsidRPr="00B14A46">
        <w:rPr>
          <w:bCs/>
        </w:rPr>
        <w:t xml:space="preserve">Програма „Храни и основно материално подпомагане” 2021-2027 г. – </w:t>
      </w:r>
      <w:r w:rsidRPr="005F1F3A">
        <w:rPr>
          <w:bCs/>
          <w:lang w:val="ru-RU"/>
        </w:rPr>
        <w:t>15</w:t>
      </w:r>
      <w:r>
        <w:rPr>
          <w:bCs/>
          <w:lang w:val="ru-RU"/>
        </w:rPr>
        <w:t>,</w:t>
      </w:r>
      <w:r w:rsidRPr="005F1F3A">
        <w:rPr>
          <w:bCs/>
          <w:lang w:val="ru-RU"/>
        </w:rPr>
        <w:t>4</w:t>
      </w:r>
      <w:r w:rsidRPr="00B14A46">
        <w:rPr>
          <w:bCs/>
        </w:rPr>
        <w:t xml:space="preserve"> млн. лв.;</w:t>
      </w:r>
    </w:p>
    <w:p w14:paraId="2BC0B6B1" w14:textId="77777777" w:rsidR="005F1F3A" w:rsidRPr="00B14A46" w:rsidRDefault="005F1F3A" w:rsidP="005F1F3A">
      <w:pPr>
        <w:numPr>
          <w:ilvl w:val="0"/>
          <w:numId w:val="10"/>
        </w:numPr>
        <w:tabs>
          <w:tab w:val="clear" w:pos="1101"/>
          <w:tab w:val="num" w:pos="786"/>
        </w:tabs>
        <w:ind w:left="786"/>
        <w:jc w:val="both"/>
        <w:rPr>
          <w:bCs/>
        </w:rPr>
      </w:pPr>
      <w:r w:rsidRPr="00B14A46">
        <w:rPr>
          <w:bCs/>
        </w:rPr>
        <w:t xml:space="preserve">Програма „Образование” 2021-2027 г. – </w:t>
      </w:r>
      <w:r w:rsidRPr="005F1F3A">
        <w:rPr>
          <w:bCs/>
          <w:lang w:val="ru-RU"/>
        </w:rPr>
        <w:t>5</w:t>
      </w:r>
      <w:r>
        <w:rPr>
          <w:bCs/>
          <w:lang w:val="ru-RU"/>
        </w:rPr>
        <w:t>,</w:t>
      </w:r>
      <w:r w:rsidRPr="005F1F3A">
        <w:rPr>
          <w:bCs/>
          <w:lang w:val="ru-RU"/>
        </w:rPr>
        <w:t>1</w:t>
      </w:r>
      <w:r w:rsidRPr="00B14A46">
        <w:rPr>
          <w:bCs/>
        </w:rPr>
        <w:t xml:space="preserve"> млн. лв.;</w:t>
      </w:r>
    </w:p>
    <w:p w14:paraId="1B2D5E26" w14:textId="77777777" w:rsidR="005F1F3A" w:rsidRPr="00B14A46" w:rsidRDefault="005F1F3A" w:rsidP="005F1F3A">
      <w:pPr>
        <w:numPr>
          <w:ilvl w:val="0"/>
          <w:numId w:val="10"/>
        </w:numPr>
        <w:tabs>
          <w:tab w:val="clear" w:pos="1101"/>
          <w:tab w:val="num" w:pos="786"/>
        </w:tabs>
        <w:ind w:left="786"/>
        <w:jc w:val="both"/>
        <w:rPr>
          <w:bCs/>
        </w:rPr>
      </w:pPr>
      <w:r w:rsidRPr="00B14A46">
        <w:rPr>
          <w:bCs/>
        </w:rPr>
        <w:t xml:space="preserve">Програма „Околна среда“ 2021-2027 г. – </w:t>
      </w:r>
      <w:r w:rsidRPr="005F1F3A">
        <w:rPr>
          <w:bCs/>
          <w:lang w:val="ru-RU"/>
        </w:rPr>
        <w:t>8</w:t>
      </w:r>
      <w:r>
        <w:rPr>
          <w:bCs/>
          <w:lang w:val="ru-RU"/>
        </w:rPr>
        <w:t>,</w:t>
      </w:r>
      <w:r w:rsidRPr="00B14A46">
        <w:rPr>
          <w:bCs/>
        </w:rPr>
        <w:t>7 млн. лв.;</w:t>
      </w:r>
    </w:p>
    <w:p w14:paraId="368193F9" w14:textId="77777777" w:rsidR="005F1F3A" w:rsidRPr="00B14A46" w:rsidRDefault="005F1F3A" w:rsidP="005F1F3A">
      <w:pPr>
        <w:numPr>
          <w:ilvl w:val="0"/>
          <w:numId w:val="10"/>
        </w:numPr>
        <w:tabs>
          <w:tab w:val="clear" w:pos="1101"/>
          <w:tab w:val="num" w:pos="786"/>
        </w:tabs>
        <w:ind w:left="786"/>
        <w:jc w:val="both"/>
        <w:rPr>
          <w:bCs/>
        </w:rPr>
      </w:pPr>
      <w:r w:rsidRPr="00B14A46">
        <w:rPr>
          <w:bCs/>
        </w:rPr>
        <w:t xml:space="preserve">Програма „Техническа помощ“ – </w:t>
      </w:r>
      <w:r w:rsidRPr="005F1F3A">
        <w:rPr>
          <w:bCs/>
          <w:lang w:val="ru-RU"/>
        </w:rPr>
        <w:t>6</w:t>
      </w:r>
      <w:r>
        <w:rPr>
          <w:bCs/>
          <w:lang w:val="ru-RU"/>
        </w:rPr>
        <w:t>,</w:t>
      </w:r>
      <w:r w:rsidRPr="005F1F3A">
        <w:rPr>
          <w:bCs/>
          <w:lang w:val="ru-RU"/>
        </w:rPr>
        <w:t>2</w:t>
      </w:r>
      <w:r w:rsidRPr="00B14A46">
        <w:rPr>
          <w:bCs/>
        </w:rPr>
        <w:t xml:space="preserve"> млн. лв.;</w:t>
      </w:r>
    </w:p>
    <w:p w14:paraId="24168BD4" w14:textId="77777777" w:rsidR="005F1F3A" w:rsidRPr="00B14A46" w:rsidRDefault="005F1F3A" w:rsidP="005F1F3A">
      <w:pPr>
        <w:numPr>
          <w:ilvl w:val="0"/>
          <w:numId w:val="10"/>
        </w:numPr>
        <w:tabs>
          <w:tab w:val="clear" w:pos="1101"/>
          <w:tab w:val="num" w:pos="786"/>
        </w:tabs>
        <w:ind w:left="786"/>
        <w:jc w:val="both"/>
        <w:rPr>
          <w:bCs/>
        </w:rPr>
      </w:pPr>
      <w:r w:rsidRPr="00B14A46">
        <w:rPr>
          <w:bCs/>
        </w:rPr>
        <w:t>Програма „Конкурентоспособност и иновации в предприятията“ 2021</w:t>
      </w:r>
      <w:r>
        <w:rPr>
          <w:bCs/>
        </w:rPr>
        <w:t>-</w:t>
      </w:r>
      <w:r w:rsidRPr="00B14A46">
        <w:rPr>
          <w:bCs/>
        </w:rPr>
        <w:t xml:space="preserve">2027 г. – </w:t>
      </w:r>
      <w:r w:rsidRPr="005F1F3A">
        <w:rPr>
          <w:bCs/>
          <w:lang w:val="ru-RU"/>
        </w:rPr>
        <w:t>2</w:t>
      </w:r>
      <w:r>
        <w:rPr>
          <w:bCs/>
          <w:lang w:val="ru-RU"/>
        </w:rPr>
        <w:t>,</w:t>
      </w:r>
      <w:r w:rsidRPr="005F1F3A">
        <w:rPr>
          <w:bCs/>
          <w:lang w:val="ru-RU"/>
        </w:rPr>
        <w:t>2</w:t>
      </w:r>
      <w:r w:rsidRPr="00B14A46">
        <w:rPr>
          <w:bCs/>
        </w:rPr>
        <w:t xml:space="preserve"> млн.</w:t>
      </w:r>
      <w:r>
        <w:rPr>
          <w:bCs/>
        </w:rPr>
        <w:t> </w:t>
      </w:r>
      <w:r w:rsidRPr="00B14A46">
        <w:rPr>
          <w:bCs/>
        </w:rPr>
        <w:t>лв.;</w:t>
      </w:r>
    </w:p>
    <w:p w14:paraId="0FFF0BBA" w14:textId="77777777" w:rsidR="005F1F3A" w:rsidRPr="004F104F" w:rsidRDefault="005F1F3A" w:rsidP="005F1F3A">
      <w:pPr>
        <w:numPr>
          <w:ilvl w:val="0"/>
          <w:numId w:val="10"/>
        </w:numPr>
        <w:tabs>
          <w:tab w:val="clear" w:pos="1101"/>
          <w:tab w:val="num" w:pos="786"/>
        </w:tabs>
        <w:ind w:left="786"/>
        <w:jc w:val="both"/>
        <w:rPr>
          <w:bCs/>
        </w:rPr>
      </w:pPr>
      <w:r w:rsidRPr="004F104F">
        <w:rPr>
          <w:bCs/>
        </w:rPr>
        <w:t>Програма „Научни изследвания, иновации и дигитализация за интелигентна трансформация“ 2021</w:t>
      </w:r>
      <w:r>
        <w:rPr>
          <w:bCs/>
        </w:rPr>
        <w:t>-</w:t>
      </w:r>
      <w:r w:rsidRPr="004F104F">
        <w:rPr>
          <w:bCs/>
        </w:rPr>
        <w:t xml:space="preserve">2027 г. – </w:t>
      </w:r>
      <w:r w:rsidRPr="005F1F3A">
        <w:rPr>
          <w:bCs/>
          <w:lang w:val="ru-RU"/>
        </w:rPr>
        <w:t>3</w:t>
      </w:r>
      <w:r>
        <w:rPr>
          <w:bCs/>
          <w:lang w:val="ru-RU"/>
        </w:rPr>
        <w:t>,</w:t>
      </w:r>
      <w:r w:rsidRPr="005F1F3A">
        <w:rPr>
          <w:bCs/>
          <w:lang w:val="ru-RU"/>
        </w:rPr>
        <w:t>7</w:t>
      </w:r>
      <w:r w:rsidRPr="004F104F">
        <w:rPr>
          <w:bCs/>
        </w:rPr>
        <w:t xml:space="preserve"> млн. лв. и</w:t>
      </w:r>
    </w:p>
    <w:p w14:paraId="46718B87" w14:textId="77777777" w:rsidR="005F1F3A" w:rsidRPr="004F104F" w:rsidRDefault="005F1F3A" w:rsidP="005F1F3A">
      <w:pPr>
        <w:numPr>
          <w:ilvl w:val="0"/>
          <w:numId w:val="10"/>
        </w:numPr>
        <w:tabs>
          <w:tab w:val="clear" w:pos="1101"/>
          <w:tab w:val="num" w:pos="786"/>
        </w:tabs>
        <w:ind w:left="786"/>
        <w:jc w:val="both"/>
        <w:rPr>
          <w:bCs/>
        </w:rPr>
      </w:pPr>
      <w:r w:rsidRPr="004F104F">
        <w:rPr>
          <w:bCs/>
        </w:rPr>
        <w:t xml:space="preserve">Програма „Транспортна свързаност“ – </w:t>
      </w:r>
      <w:r w:rsidRPr="005F1F3A">
        <w:rPr>
          <w:bCs/>
          <w:lang w:val="ru-RU"/>
        </w:rPr>
        <w:t>65</w:t>
      </w:r>
      <w:r>
        <w:rPr>
          <w:bCs/>
          <w:lang w:val="ru-RU"/>
        </w:rPr>
        <w:t>,</w:t>
      </w:r>
      <w:r w:rsidRPr="005F1F3A">
        <w:rPr>
          <w:bCs/>
          <w:lang w:val="ru-RU"/>
        </w:rPr>
        <w:t>3</w:t>
      </w:r>
      <w:r w:rsidRPr="004F104F">
        <w:rPr>
          <w:bCs/>
        </w:rPr>
        <w:t xml:space="preserve"> млн. л</w:t>
      </w:r>
      <w:r>
        <w:rPr>
          <w:bCs/>
        </w:rPr>
        <w:t>е</w:t>
      </w:r>
      <w:r w:rsidRPr="004F104F">
        <w:rPr>
          <w:bCs/>
        </w:rPr>
        <w:t>в</w:t>
      </w:r>
      <w:r>
        <w:rPr>
          <w:bCs/>
        </w:rPr>
        <w:t>а</w:t>
      </w:r>
      <w:r w:rsidRPr="004F104F">
        <w:rPr>
          <w:bCs/>
        </w:rPr>
        <w:t>.</w:t>
      </w:r>
    </w:p>
    <w:p w14:paraId="0D029349" w14:textId="77777777" w:rsidR="005F1F3A" w:rsidRPr="00F807AD" w:rsidRDefault="005F1F3A" w:rsidP="005F1F3A">
      <w:pPr>
        <w:spacing w:before="120"/>
        <w:ind w:firstLine="426"/>
        <w:rPr>
          <w:bCs/>
        </w:rPr>
      </w:pPr>
      <w:r w:rsidRPr="00F807AD">
        <w:rPr>
          <w:bCs/>
        </w:rPr>
        <w:t xml:space="preserve">Направените разходи (нето) за периода са в размер на </w:t>
      </w:r>
      <w:r w:rsidRPr="005F1F3A">
        <w:rPr>
          <w:bCs/>
          <w:lang w:val="ru-RU"/>
        </w:rPr>
        <w:t>321</w:t>
      </w:r>
      <w:r>
        <w:rPr>
          <w:bCs/>
          <w:lang w:val="ru-RU"/>
        </w:rPr>
        <w:t>,</w:t>
      </w:r>
      <w:r w:rsidRPr="005F1F3A">
        <w:rPr>
          <w:bCs/>
          <w:lang w:val="ru-RU"/>
        </w:rPr>
        <w:t>1</w:t>
      </w:r>
      <w:r w:rsidRPr="00F807AD">
        <w:rPr>
          <w:bCs/>
        </w:rPr>
        <w:t xml:space="preserve"> млн. лв. и са разпределени както следва:</w:t>
      </w:r>
    </w:p>
    <w:p w14:paraId="36D917CF" w14:textId="77777777" w:rsidR="005F1F3A" w:rsidRPr="00957EB4" w:rsidRDefault="005F1F3A" w:rsidP="005F1F3A">
      <w:pPr>
        <w:numPr>
          <w:ilvl w:val="0"/>
          <w:numId w:val="10"/>
        </w:numPr>
        <w:tabs>
          <w:tab w:val="clear" w:pos="1101"/>
          <w:tab w:val="num" w:pos="786"/>
        </w:tabs>
        <w:ind w:left="786"/>
        <w:jc w:val="both"/>
        <w:rPr>
          <w:bCs/>
        </w:rPr>
      </w:pPr>
      <w:r w:rsidRPr="00957EB4">
        <w:rPr>
          <w:bCs/>
        </w:rPr>
        <w:t xml:space="preserve">Програма „Развитие на човешките ресурси” 2021-2027 г. – </w:t>
      </w:r>
      <w:r w:rsidRPr="005F1F3A">
        <w:rPr>
          <w:bCs/>
          <w:lang w:val="ru-RU"/>
        </w:rPr>
        <w:t>133</w:t>
      </w:r>
      <w:r>
        <w:rPr>
          <w:bCs/>
          <w:lang w:val="ru-RU"/>
        </w:rPr>
        <w:t>,</w:t>
      </w:r>
      <w:r w:rsidRPr="005F1F3A">
        <w:rPr>
          <w:bCs/>
          <w:lang w:val="ru-RU"/>
        </w:rPr>
        <w:t>5</w:t>
      </w:r>
      <w:r w:rsidRPr="00957EB4">
        <w:rPr>
          <w:bCs/>
        </w:rPr>
        <w:t xml:space="preserve"> млн. лв.;  </w:t>
      </w:r>
    </w:p>
    <w:p w14:paraId="41733432" w14:textId="77777777" w:rsidR="005F1F3A" w:rsidRPr="00DB7D2B" w:rsidRDefault="005F1F3A" w:rsidP="005F1F3A">
      <w:pPr>
        <w:numPr>
          <w:ilvl w:val="0"/>
          <w:numId w:val="10"/>
        </w:numPr>
        <w:tabs>
          <w:tab w:val="clear" w:pos="1101"/>
          <w:tab w:val="num" w:pos="786"/>
        </w:tabs>
        <w:ind w:left="786"/>
        <w:jc w:val="both"/>
        <w:rPr>
          <w:bCs/>
        </w:rPr>
      </w:pPr>
      <w:r w:rsidRPr="00DB7D2B">
        <w:rPr>
          <w:bCs/>
        </w:rPr>
        <w:t xml:space="preserve">Програма „Храни и основно материално подпомагане” 2021-2027 г. – </w:t>
      </w:r>
      <w:r w:rsidRPr="005F1F3A">
        <w:rPr>
          <w:bCs/>
          <w:lang w:val="ru-RU"/>
        </w:rPr>
        <w:t>19</w:t>
      </w:r>
      <w:r>
        <w:rPr>
          <w:bCs/>
          <w:lang w:val="ru-RU"/>
        </w:rPr>
        <w:t>,</w:t>
      </w:r>
      <w:r w:rsidRPr="005F1F3A">
        <w:rPr>
          <w:bCs/>
          <w:lang w:val="ru-RU"/>
        </w:rPr>
        <w:t>1</w:t>
      </w:r>
      <w:r w:rsidRPr="00DB7D2B">
        <w:rPr>
          <w:bCs/>
        </w:rPr>
        <w:t xml:space="preserve"> млн. лв.;</w:t>
      </w:r>
    </w:p>
    <w:p w14:paraId="7BA62D64" w14:textId="77777777" w:rsidR="005F1F3A" w:rsidRPr="00DB7D2B" w:rsidRDefault="005F1F3A" w:rsidP="005F1F3A">
      <w:pPr>
        <w:numPr>
          <w:ilvl w:val="0"/>
          <w:numId w:val="10"/>
        </w:numPr>
        <w:tabs>
          <w:tab w:val="clear" w:pos="1101"/>
          <w:tab w:val="num" w:pos="786"/>
        </w:tabs>
        <w:ind w:left="786"/>
        <w:jc w:val="both"/>
        <w:rPr>
          <w:bCs/>
        </w:rPr>
      </w:pPr>
      <w:r w:rsidRPr="00DB7D2B">
        <w:rPr>
          <w:bCs/>
        </w:rPr>
        <w:t xml:space="preserve">Програма „Образование” 2021-2027 г. – </w:t>
      </w:r>
      <w:r w:rsidRPr="005F1F3A">
        <w:rPr>
          <w:bCs/>
          <w:lang w:val="ru-RU"/>
        </w:rPr>
        <w:t>29</w:t>
      </w:r>
      <w:r>
        <w:rPr>
          <w:bCs/>
          <w:lang w:val="ru-RU"/>
        </w:rPr>
        <w:t>,</w:t>
      </w:r>
      <w:r w:rsidRPr="005F1F3A">
        <w:rPr>
          <w:bCs/>
          <w:lang w:val="ru-RU"/>
        </w:rPr>
        <w:t>9</w:t>
      </w:r>
      <w:r w:rsidRPr="00DB7D2B">
        <w:rPr>
          <w:bCs/>
        </w:rPr>
        <w:t xml:space="preserve"> млн. лв.;</w:t>
      </w:r>
    </w:p>
    <w:p w14:paraId="31283D41" w14:textId="77777777" w:rsidR="005F1F3A" w:rsidRPr="00DB7D2B" w:rsidRDefault="005F1F3A" w:rsidP="005F1F3A">
      <w:pPr>
        <w:numPr>
          <w:ilvl w:val="0"/>
          <w:numId w:val="10"/>
        </w:numPr>
        <w:tabs>
          <w:tab w:val="clear" w:pos="1101"/>
          <w:tab w:val="num" w:pos="786"/>
        </w:tabs>
        <w:ind w:left="786"/>
        <w:jc w:val="both"/>
        <w:rPr>
          <w:bCs/>
        </w:rPr>
      </w:pPr>
      <w:r w:rsidRPr="00DB7D2B">
        <w:rPr>
          <w:bCs/>
        </w:rPr>
        <w:t xml:space="preserve">Програма „Околна среда“ 2021-2027 г. – </w:t>
      </w:r>
      <w:r w:rsidRPr="005F1F3A">
        <w:rPr>
          <w:bCs/>
          <w:lang w:val="ru-RU"/>
        </w:rPr>
        <w:t>66</w:t>
      </w:r>
      <w:r>
        <w:rPr>
          <w:bCs/>
          <w:lang w:val="ru-RU"/>
        </w:rPr>
        <w:t>,</w:t>
      </w:r>
      <w:r w:rsidRPr="005F1F3A">
        <w:rPr>
          <w:bCs/>
          <w:lang w:val="ru-RU"/>
        </w:rPr>
        <w:t>0</w:t>
      </w:r>
      <w:r w:rsidRPr="00DB7D2B">
        <w:rPr>
          <w:bCs/>
        </w:rPr>
        <w:t xml:space="preserve"> млн. лв.;</w:t>
      </w:r>
    </w:p>
    <w:p w14:paraId="6FC2BE0D" w14:textId="77777777" w:rsidR="005F1F3A" w:rsidRPr="00F32FF3" w:rsidRDefault="005F1F3A" w:rsidP="005F1F3A">
      <w:pPr>
        <w:numPr>
          <w:ilvl w:val="0"/>
          <w:numId w:val="10"/>
        </w:numPr>
        <w:tabs>
          <w:tab w:val="clear" w:pos="1101"/>
          <w:tab w:val="num" w:pos="786"/>
        </w:tabs>
        <w:ind w:left="786"/>
        <w:jc w:val="both"/>
        <w:rPr>
          <w:bCs/>
        </w:rPr>
      </w:pPr>
      <w:r w:rsidRPr="00F32FF3">
        <w:rPr>
          <w:bCs/>
        </w:rPr>
        <w:t xml:space="preserve">Програма „Техническа помощ“ – </w:t>
      </w:r>
      <w:r w:rsidRPr="005F1F3A">
        <w:rPr>
          <w:bCs/>
          <w:lang w:val="ru-RU"/>
        </w:rPr>
        <w:t>6</w:t>
      </w:r>
      <w:r>
        <w:rPr>
          <w:bCs/>
          <w:lang w:val="ru-RU"/>
        </w:rPr>
        <w:t>,</w:t>
      </w:r>
      <w:r w:rsidRPr="005F1F3A">
        <w:rPr>
          <w:bCs/>
          <w:lang w:val="ru-RU"/>
        </w:rPr>
        <w:t>0</w:t>
      </w:r>
      <w:r w:rsidRPr="00F32FF3">
        <w:rPr>
          <w:bCs/>
        </w:rPr>
        <w:t xml:space="preserve"> млн. лв.;</w:t>
      </w:r>
    </w:p>
    <w:p w14:paraId="1D01F7F4" w14:textId="77777777" w:rsidR="005F1F3A" w:rsidRPr="006644BC" w:rsidRDefault="005F1F3A" w:rsidP="005F1F3A">
      <w:pPr>
        <w:numPr>
          <w:ilvl w:val="0"/>
          <w:numId w:val="10"/>
        </w:numPr>
        <w:tabs>
          <w:tab w:val="clear" w:pos="1101"/>
          <w:tab w:val="num" w:pos="786"/>
        </w:tabs>
        <w:ind w:left="786"/>
        <w:jc w:val="both"/>
        <w:rPr>
          <w:bCs/>
        </w:rPr>
      </w:pPr>
      <w:r w:rsidRPr="006644BC">
        <w:rPr>
          <w:bCs/>
        </w:rPr>
        <w:t>Програма „Конкурентоспособност и иновации в предприятията“ 2021</w:t>
      </w:r>
      <w:r>
        <w:rPr>
          <w:bCs/>
        </w:rPr>
        <w:t>-</w:t>
      </w:r>
      <w:r w:rsidRPr="006644BC">
        <w:rPr>
          <w:bCs/>
        </w:rPr>
        <w:t xml:space="preserve">2027 г. – </w:t>
      </w:r>
      <w:r w:rsidRPr="005F1F3A">
        <w:rPr>
          <w:bCs/>
          <w:lang w:val="ru-RU"/>
        </w:rPr>
        <w:t>4</w:t>
      </w:r>
      <w:r>
        <w:rPr>
          <w:bCs/>
          <w:lang w:val="ru-RU"/>
        </w:rPr>
        <w:t>,</w:t>
      </w:r>
      <w:r w:rsidRPr="005F1F3A">
        <w:rPr>
          <w:bCs/>
          <w:lang w:val="ru-RU"/>
        </w:rPr>
        <w:t>4</w:t>
      </w:r>
      <w:r w:rsidRPr="006644BC">
        <w:rPr>
          <w:bCs/>
        </w:rPr>
        <w:t xml:space="preserve"> млн.</w:t>
      </w:r>
      <w:r>
        <w:rPr>
          <w:bCs/>
        </w:rPr>
        <w:t> </w:t>
      </w:r>
      <w:r w:rsidRPr="006644BC">
        <w:rPr>
          <w:bCs/>
        </w:rPr>
        <w:t>лв.;</w:t>
      </w:r>
    </w:p>
    <w:p w14:paraId="6F920F99" w14:textId="77777777" w:rsidR="005F1F3A" w:rsidRPr="006644BC" w:rsidRDefault="005F1F3A" w:rsidP="005F1F3A">
      <w:pPr>
        <w:numPr>
          <w:ilvl w:val="0"/>
          <w:numId w:val="10"/>
        </w:numPr>
        <w:tabs>
          <w:tab w:val="clear" w:pos="1101"/>
          <w:tab w:val="num" w:pos="786"/>
        </w:tabs>
        <w:ind w:left="786"/>
        <w:jc w:val="both"/>
        <w:rPr>
          <w:bCs/>
        </w:rPr>
      </w:pPr>
      <w:r w:rsidRPr="006644BC">
        <w:rPr>
          <w:bCs/>
        </w:rPr>
        <w:t xml:space="preserve">Фонд за справедлив преход – </w:t>
      </w:r>
      <w:r w:rsidRPr="005F1F3A">
        <w:rPr>
          <w:bCs/>
          <w:lang w:val="ru-RU"/>
        </w:rPr>
        <w:t>5</w:t>
      </w:r>
      <w:r>
        <w:rPr>
          <w:bCs/>
          <w:lang w:val="ru-RU"/>
        </w:rPr>
        <w:t>,</w:t>
      </w:r>
      <w:r w:rsidRPr="005F1F3A">
        <w:rPr>
          <w:bCs/>
          <w:lang w:val="ru-RU"/>
        </w:rPr>
        <w:t>2</w:t>
      </w:r>
      <w:r w:rsidRPr="006644BC">
        <w:rPr>
          <w:bCs/>
        </w:rPr>
        <w:t xml:space="preserve"> млн. лв.;</w:t>
      </w:r>
    </w:p>
    <w:p w14:paraId="516D571E" w14:textId="77777777" w:rsidR="005F1F3A" w:rsidRPr="00425B54" w:rsidRDefault="005F1F3A" w:rsidP="005F1F3A">
      <w:pPr>
        <w:numPr>
          <w:ilvl w:val="0"/>
          <w:numId w:val="10"/>
        </w:numPr>
        <w:tabs>
          <w:tab w:val="clear" w:pos="1101"/>
          <w:tab w:val="num" w:pos="786"/>
        </w:tabs>
        <w:ind w:left="786"/>
        <w:jc w:val="both"/>
        <w:rPr>
          <w:bCs/>
        </w:rPr>
      </w:pPr>
      <w:r w:rsidRPr="00425B54">
        <w:rPr>
          <w:bCs/>
        </w:rPr>
        <w:t>Програма „Научни изследвания, иновации и дигитализация за интелигентна трансформация“ 2021</w:t>
      </w:r>
      <w:r>
        <w:rPr>
          <w:bCs/>
        </w:rPr>
        <w:t>-</w:t>
      </w:r>
      <w:r w:rsidRPr="00425B54">
        <w:rPr>
          <w:bCs/>
        </w:rPr>
        <w:t xml:space="preserve">2027 г. – </w:t>
      </w:r>
      <w:r w:rsidRPr="005F1F3A">
        <w:rPr>
          <w:bCs/>
          <w:lang w:val="ru-RU"/>
        </w:rPr>
        <w:t>3</w:t>
      </w:r>
      <w:r>
        <w:rPr>
          <w:bCs/>
          <w:lang w:val="ru-RU"/>
        </w:rPr>
        <w:t>,</w:t>
      </w:r>
      <w:r w:rsidRPr="005F1F3A">
        <w:rPr>
          <w:bCs/>
          <w:lang w:val="ru-RU"/>
        </w:rPr>
        <w:t>6</w:t>
      </w:r>
      <w:r w:rsidRPr="00425B54">
        <w:rPr>
          <w:bCs/>
        </w:rPr>
        <w:t xml:space="preserve"> млн. лв. и</w:t>
      </w:r>
    </w:p>
    <w:p w14:paraId="6AB40186" w14:textId="77777777" w:rsidR="005F1F3A" w:rsidRPr="00425B54" w:rsidRDefault="005F1F3A" w:rsidP="005F1F3A">
      <w:pPr>
        <w:numPr>
          <w:ilvl w:val="0"/>
          <w:numId w:val="10"/>
        </w:numPr>
        <w:tabs>
          <w:tab w:val="clear" w:pos="1101"/>
          <w:tab w:val="num" w:pos="786"/>
        </w:tabs>
        <w:ind w:left="786"/>
        <w:jc w:val="both"/>
        <w:rPr>
          <w:bCs/>
        </w:rPr>
      </w:pPr>
      <w:r w:rsidRPr="00425B54">
        <w:rPr>
          <w:bCs/>
        </w:rPr>
        <w:t xml:space="preserve">Програма „Транспортна свързаност“ – </w:t>
      </w:r>
      <w:r w:rsidRPr="005F1F3A">
        <w:rPr>
          <w:bCs/>
          <w:lang w:val="ru-RU"/>
        </w:rPr>
        <w:t>53</w:t>
      </w:r>
      <w:r w:rsidR="001A3398">
        <w:rPr>
          <w:bCs/>
          <w:lang w:val="ru-RU"/>
        </w:rPr>
        <w:t>,</w:t>
      </w:r>
      <w:r w:rsidRPr="005F1F3A">
        <w:rPr>
          <w:bCs/>
          <w:lang w:val="ru-RU"/>
        </w:rPr>
        <w:t>4</w:t>
      </w:r>
      <w:r w:rsidRPr="00425B54">
        <w:rPr>
          <w:bCs/>
        </w:rPr>
        <w:t xml:space="preserve"> млн. л</w:t>
      </w:r>
      <w:r w:rsidR="001A3398">
        <w:rPr>
          <w:bCs/>
        </w:rPr>
        <w:t>е</w:t>
      </w:r>
      <w:r w:rsidRPr="00425B54">
        <w:rPr>
          <w:bCs/>
        </w:rPr>
        <w:t>в</w:t>
      </w:r>
      <w:r w:rsidR="001A3398">
        <w:rPr>
          <w:bCs/>
        </w:rPr>
        <w:t>а</w:t>
      </w:r>
      <w:r w:rsidRPr="00425B54">
        <w:rPr>
          <w:bCs/>
        </w:rPr>
        <w:t>.</w:t>
      </w:r>
    </w:p>
    <w:p w14:paraId="16AB538A" w14:textId="77777777" w:rsidR="005F1F3A" w:rsidRPr="00702A43" w:rsidRDefault="005F1F3A" w:rsidP="005F1F3A">
      <w:pPr>
        <w:rPr>
          <w:color w:val="365F91" w:themeColor="accent1" w:themeShade="BF"/>
        </w:rPr>
      </w:pPr>
    </w:p>
    <w:p w14:paraId="45B09126" w14:textId="77777777" w:rsidR="005F1F3A" w:rsidRPr="00E96DFF" w:rsidRDefault="005F1F3A" w:rsidP="001A3398">
      <w:pPr>
        <w:ind w:firstLine="426"/>
        <w:jc w:val="both"/>
        <w:rPr>
          <w:bCs/>
        </w:rPr>
      </w:pPr>
      <w:r w:rsidRPr="00E96DFF">
        <w:t>Възстановените средства по авансово финансиране по реда на ДДС6/2011 г. са в размер на 2</w:t>
      </w:r>
      <w:r w:rsidR="001A3398">
        <w:t>,</w:t>
      </w:r>
      <w:r w:rsidRPr="00E96DFF">
        <w:t>3 млн. лева.</w:t>
      </w:r>
    </w:p>
    <w:p w14:paraId="21BD4B9A" w14:textId="77777777" w:rsidR="005F1F3A" w:rsidRPr="0034509E" w:rsidRDefault="005F1F3A" w:rsidP="005F1F3A">
      <w:pPr>
        <w:spacing w:before="120"/>
        <w:ind w:firstLine="686"/>
        <w:rPr>
          <w:b/>
          <w:bCs/>
        </w:rPr>
      </w:pPr>
      <w:r w:rsidRPr="0034509E">
        <w:rPr>
          <w:b/>
          <w:bCs/>
        </w:rPr>
        <w:t>Национален план за възстановяване и устойчивост (НПВУ)</w:t>
      </w:r>
    </w:p>
    <w:p w14:paraId="760A22E4" w14:textId="77777777" w:rsidR="005F1F3A" w:rsidRPr="0034509E" w:rsidRDefault="005F1F3A" w:rsidP="001A3398">
      <w:pPr>
        <w:spacing w:before="120"/>
        <w:ind w:firstLine="686"/>
        <w:jc w:val="both"/>
        <w:rPr>
          <w:bCs/>
        </w:rPr>
      </w:pPr>
      <w:r w:rsidRPr="0034509E">
        <w:rPr>
          <w:bCs/>
        </w:rPr>
        <w:t>През отчетния период чрез НПВУ бяха извършени разходи и трансфери (нето)</w:t>
      </w:r>
      <w:r w:rsidRPr="005F1F3A">
        <w:rPr>
          <w:bCs/>
          <w:lang w:val="ru-RU"/>
        </w:rPr>
        <w:t xml:space="preserve"> </w:t>
      </w:r>
      <w:r w:rsidRPr="0034509E">
        <w:rPr>
          <w:bCs/>
        </w:rPr>
        <w:t xml:space="preserve">в размер на </w:t>
      </w:r>
      <w:bookmarkStart w:id="55" w:name="OLE_LINK5"/>
      <w:r w:rsidRPr="0034509E">
        <w:rPr>
          <w:bCs/>
        </w:rPr>
        <w:t>545</w:t>
      </w:r>
      <w:bookmarkEnd w:id="55"/>
      <w:r w:rsidR="001A3398">
        <w:rPr>
          <w:bCs/>
        </w:rPr>
        <w:t>,</w:t>
      </w:r>
      <w:r w:rsidRPr="0034509E">
        <w:rPr>
          <w:bCs/>
        </w:rPr>
        <w:t>4 млн. лева.</w:t>
      </w:r>
    </w:p>
    <w:p w14:paraId="7DE97DC2" w14:textId="77777777" w:rsidR="005F1F3A" w:rsidRPr="00E65393" w:rsidRDefault="005F1F3A" w:rsidP="001A3398">
      <w:pPr>
        <w:spacing w:before="120"/>
        <w:ind w:firstLine="686"/>
        <w:jc w:val="both"/>
        <w:rPr>
          <w:b/>
          <w:bCs/>
        </w:rPr>
      </w:pPr>
      <w:r w:rsidRPr="00702A43">
        <w:rPr>
          <w:bCs/>
          <w:color w:val="365F91" w:themeColor="accent1" w:themeShade="BF"/>
        </w:rPr>
        <w:tab/>
      </w:r>
      <w:r w:rsidRPr="00E65393">
        <w:rPr>
          <w:b/>
          <w:bCs/>
        </w:rPr>
        <w:t>Двустранни програми за трансгранично сътрудничество по външните граници на Европейския съюз 2014 – 2020 г. и 2021 – 2027 г.</w:t>
      </w:r>
    </w:p>
    <w:p w14:paraId="018A8247" w14:textId="77777777" w:rsidR="005F1F3A" w:rsidRPr="00E65393" w:rsidRDefault="005F1F3A" w:rsidP="001A3398">
      <w:pPr>
        <w:spacing w:before="120"/>
        <w:ind w:firstLine="686"/>
        <w:jc w:val="both"/>
        <w:rPr>
          <w:bCs/>
        </w:rPr>
      </w:pPr>
      <w:r w:rsidRPr="00E65393">
        <w:rPr>
          <w:bCs/>
        </w:rPr>
        <w:t>Получените средства към 3</w:t>
      </w:r>
      <w:r w:rsidRPr="005F1F3A">
        <w:rPr>
          <w:bCs/>
          <w:lang w:val="ru-RU"/>
        </w:rPr>
        <w:t>1</w:t>
      </w:r>
      <w:r w:rsidRPr="00E65393">
        <w:rPr>
          <w:bCs/>
        </w:rPr>
        <w:t xml:space="preserve">.03.2025 г. са на стойност </w:t>
      </w:r>
      <w:r w:rsidRPr="005F1F3A">
        <w:rPr>
          <w:bCs/>
          <w:lang w:val="ru-RU"/>
        </w:rPr>
        <w:t>0</w:t>
      </w:r>
      <w:r w:rsidR="001A3398">
        <w:rPr>
          <w:bCs/>
        </w:rPr>
        <w:t>,</w:t>
      </w:r>
      <w:r w:rsidRPr="00E65393">
        <w:rPr>
          <w:bCs/>
        </w:rPr>
        <w:t>04 млн. лв.</w:t>
      </w:r>
      <w:r w:rsidR="001A3398">
        <w:rPr>
          <w:bCs/>
        </w:rPr>
        <w:t xml:space="preserve"> и</w:t>
      </w:r>
      <w:r w:rsidRPr="00E65393">
        <w:rPr>
          <w:bCs/>
        </w:rPr>
        <w:t xml:space="preserve"> представлява</w:t>
      </w:r>
      <w:r w:rsidR="001A3398">
        <w:rPr>
          <w:bCs/>
        </w:rPr>
        <w:t>т</w:t>
      </w:r>
      <w:r w:rsidRPr="00E65393">
        <w:rPr>
          <w:bCs/>
        </w:rPr>
        <w:t xml:space="preserve"> постъпили средства за съфинансиране от страните-партньори, както </w:t>
      </w:r>
      <w:r w:rsidR="001A3398">
        <w:rPr>
          <w:bCs/>
        </w:rPr>
        <w:t xml:space="preserve">и </w:t>
      </w:r>
      <w:r w:rsidRPr="00E65393">
        <w:rPr>
          <w:bCs/>
        </w:rPr>
        <w:t>разпределени към администратори в чужбина за сметка на средствата, получени от страната-партньор.</w:t>
      </w:r>
    </w:p>
    <w:p w14:paraId="39B48894" w14:textId="77777777" w:rsidR="005F1F3A" w:rsidRPr="00E65393" w:rsidRDefault="005F1F3A" w:rsidP="001A3398">
      <w:pPr>
        <w:ind w:firstLine="686"/>
        <w:jc w:val="both"/>
        <w:rPr>
          <w:b/>
          <w:bCs/>
        </w:rPr>
      </w:pPr>
      <w:r w:rsidRPr="00E65393">
        <w:rPr>
          <w:bCs/>
        </w:rPr>
        <w:t>Сумата на разходите и трансферите (нето) към бюджетни организации в страната, които са направени през същия период по двустранните програми са на обща стойност 1</w:t>
      </w:r>
      <w:r w:rsidR="001A3398">
        <w:rPr>
          <w:bCs/>
        </w:rPr>
        <w:t>,</w:t>
      </w:r>
      <w:r w:rsidRPr="00E65393">
        <w:rPr>
          <w:bCs/>
        </w:rPr>
        <w:t xml:space="preserve">3 млн. лв., включително за плащания към бенефициенти в страната, извършени за сметка на полученото финансиране от страната-партньор по тези програми. </w:t>
      </w:r>
    </w:p>
    <w:p w14:paraId="5DE864BD" w14:textId="77777777" w:rsidR="005F1F3A" w:rsidRPr="003C5338" w:rsidRDefault="005F1F3A" w:rsidP="001A3398">
      <w:pPr>
        <w:spacing w:before="120"/>
        <w:ind w:firstLine="686"/>
        <w:jc w:val="both"/>
        <w:rPr>
          <w:b/>
          <w:bCs/>
        </w:rPr>
      </w:pPr>
      <w:r w:rsidRPr="003C5338">
        <w:rPr>
          <w:b/>
          <w:bCs/>
        </w:rPr>
        <w:t>Финансов механизъм на Европейското икономическо пространство и Норвежки финансов механизъм за периода 2009-2014 г. и 2014-2021 г.</w:t>
      </w:r>
    </w:p>
    <w:p w14:paraId="376D9D33" w14:textId="77777777" w:rsidR="005F1F3A" w:rsidRPr="003C5338" w:rsidRDefault="005F1F3A" w:rsidP="001A3398">
      <w:pPr>
        <w:spacing w:before="120"/>
        <w:ind w:firstLine="686"/>
        <w:rPr>
          <w:b/>
          <w:bCs/>
        </w:rPr>
      </w:pPr>
      <w:r w:rsidRPr="003C5338">
        <w:rPr>
          <w:bCs/>
        </w:rPr>
        <w:t>Получените средства към 3</w:t>
      </w:r>
      <w:r w:rsidRPr="005F1F3A">
        <w:rPr>
          <w:bCs/>
          <w:lang w:val="ru-RU"/>
        </w:rPr>
        <w:t>1</w:t>
      </w:r>
      <w:r w:rsidRPr="003C5338">
        <w:rPr>
          <w:bCs/>
        </w:rPr>
        <w:t>.03.2025 г. са в размер на 6</w:t>
      </w:r>
      <w:r w:rsidR="001A3398">
        <w:rPr>
          <w:bCs/>
        </w:rPr>
        <w:t>,</w:t>
      </w:r>
      <w:r w:rsidRPr="003C5338">
        <w:rPr>
          <w:bCs/>
        </w:rPr>
        <w:t>4 млн. л</w:t>
      </w:r>
      <w:r w:rsidR="001A3398">
        <w:rPr>
          <w:bCs/>
        </w:rPr>
        <w:t>е</w:t>
      </w:r>
      <w:r w:rsidRPr="003C5338">
        <w:rPr>
          <w:bCs/>
        </w:rPr>
        <w:t>в</w:t>
      </w:r>
      <w:r w:rsidR="001A3398">
        <w:rPr>
          <w:bCs/>
        </w:rPr>
        <w:t>а</w:t>
      </w:r>
      <w:r w:rsidRPr="003C5338">
        <w:rPr>
          <w:bCs/>
        </w:rPr>
        <w:t>.</w:t>
      </w:r>
    </w:p>
    <w:p w14:paraId="03346EA5" w14:textId="77777777" w:rsidR="005F1F3A" w:rsidRPr="003C5338" w:rsidRDefault="005F1F3A" w:rsidP="001A3398">
      <w:pPr>
        <w:spacing w:before="120"/>
        <w:ind w:firstLine="686"/>
        <w:jc w:val="both"/>
        <w:rPr>
          <w:b/>
          <w:bCs/>
        </w:rPr>
      </w:pPr>
      <w:r w:rsidRPr="003C5338">
        <w:rPr>
          <w:bCs/>
        </w:rPr>
        <w:t>Сумата на разходите и трансферите (нето) за периода са на обща стойност 14</w:t>
      </w:r>
      <w:r w:rsidR="001A3398">
        <w:rPr>
          <w:bCs/>
        </w:rPr>
        <w:t>,</w:t>
      </w:r>
      <w:r w:rsidRPr="003C5338">
        <w:rPr>
          <w:bCs/>
        </w:rPr>
        <w:t>7 млн. лева. В тази сума влизат и 4</w:t>
      </w:r>
      <w:r w:rsidR="001A3398">
        <w:rPr>
          <w:bCs/>
        </w:rPr>
        <w:t>,</w:t>
      </w:r>
      <w:r w:rsidRPr="003C5338">
        <w:rPr>
          <w:bCs/>
        </w:rPr>
        <w:t>7 млн. лв</w:t>
      </w:r>
      <w:r w:rsidR="001A3398">
        <w:rPr>
          <w:bCs/>
        </w:rPr>
        <w:t>.</w:t>
      </w:r>
      <w:r w:rsidRPr="003C5338">
        <w:rPr>
          <w:bCs/>
        </w:rPr>
        <w:t xml:space="preserve"> разходи, отпуснати като безлихвени средства на </w:t>
      </w:r>
      <w:r w:rsidR="001A3398">
        <w:rPr>
          <w:bCs/>
        </w:rPr>
        <w:t>М</w:t>
      </w:r>
      <w:r w:rsidRPr="003C5338">
        <w:rPr>
          <w:bCs/>
        </w:rPr>
        <w:t>инистерство</w:t>
      </w:r>
      <w:r w:rsidR="001A3398">
        <w:rPr>
          <w:bCs/>
        </w:rPr>
        <w:t>то</w:t>
      </w:r>
      <w:r w:rsidRPr="003C5338">
        <w:rPr>
          <w:bCs/>
        </w:rPr>
        <w:t xml:space="preserve"> на правосъдието от сметката за средства от ЕС на НФ.</w:t>
      </w:r>
      <w:r w:rsidRPr="003C5338">
        <w:rPr>
          <w:b/>
          <w:bCs/>
        </w:rPr>
        <w:t xml:space="preserve"> </w:t>
      </w:r>
    </w:p>
    <w:p w14:paraId="0D855D80" w14:textId="77777777" w:rsidR="005F1F3A" w:rsidRPr="004D3F7C" w:rsidRDefault="005F1F3A" w:rsidP="001A3398">
      <w:pPr>
        <w:spacing w:before="120"/>
        <w:ind w:firstLine="686"/>
        <w:jc w:val="both"/>
        <w:rPr>
          <w:b/>
          <w:bCs/>
        </w:rPr>
      </w:pPr>
      <w:r w:rsidRPr="004D3F7C">
        <w:rPr>
          <w:b/>
          <w:bCs/>
        </w:rPr>
        <w:t xml:space="preserve">Програма САПАРД </w:t>
      </w:r>
    </w:p>
    <w:p w14:paraId="5060BBC3" w14:textId="77777777" w:rsidR="005F1F3A" w:rsidRPr="005F1F3A" w:rsidRDefault="005F1F3A" w:rsidP="001A3398">
      <w:pPr>
        <w:pStyle w:val="Header"/>
        <w:tabs>
          <w:tab w:val="clear" w:pos="4153"/>
          <w:tab w:val="clear" w:pos="8306"/>
        </w:tabs>
        <w:ind w:right="277" w:firstLine="567"/>
        <w:jc w:val="both"/>
        <w:rPr>
          <w:b/>
          <w:lang w:val="ru-RU"/>
        </w:rPr>
      </w:pPr>
      <w:r w:rsidRPr="005F1F3A">
        <w:rPr>
          <w:bCs/>
          <w:lang w:val="ru-RU"/>
        </w:rPr>
        <w:t xml:space="preserve">  </w:t>
      </w:r>
      <w:r w:rsidRPr="004D3F7C">
        <w:rPr>
          <w:bCs/>
        </w:rPr>
        <w:t>През периода са извършени възстановявания от бенефициенти по дългове на стойност 0</w:t>
      </w:r>
      <w:r w:rsidR="001A3398">
        <w:rPr>
          <w:bCs/>
        </w:rPr>
        <w:t>,</w:t>
      </w:r>
      <w:r w:rsidRPr="005F1F3A">
        <w:rPr>
          <w:bCs/>
          <w:lang w:val="ru-RU"/>
        </w:rPr>
        <w:t>00</w:t>
      </w:r>
      <w:r w:rsidRPr="004D3F7C">
        <w:rPr>
          <w:bCs/>
        </w:rPr>
        <w:t>06 млн. л</w:t>
      </w:r>
      <w:r w:rsidR="001A3398">
        <w:rPr>
          <w:bCs/>
        </w:rPr>
        <w:t>е</w:t>
      </w:r>
      <w:r w:rsidRPr="004D3F7C">
        <w:rPr>
          <w:bCs/>
        </w:rPr>
        <w:t>в</w:t>
      </w:r>
      <w:r w:rsidR="001A3398">
        <w:rPr>
          <w:bCs/>
        </w:rPr>
        <w:t>а</w:t>
      </w:r>
      <w:r w:rsidRPr="004D3F7C">
        <w:rPr>
          <w:bCs/>
        </w:rPr>
        <w:t>.</w:t>
      </w:r>
    </w:p>
    <w:p w14:paraId="2A100487" w14:textId="77777777" w:rsidR="00936CD8" w:rsidRPr="00303BC4" w:rsidRDefault="00936CD8" w:rsidP="00751A2A">
      <w:pPr>
        <w:pStyle w:val="Heading1"/>
        <w:numPr>
          <w:ilvl w:val="0"/>
          <w:numId w:val="8"/>
        </w:numPr>
        <w:spacing w:before="360"/>
        <w:ind w:left="533" w:right="-108" w:hanging="391"/>
        <w:jc w:val="both"/>
        <w:rPr>
          <w:sz w:val="24"/>
        </w:rPr>
      </w:pPr>
      <w:r w:rsidRPr="00303BC4">
        <w:rPr>
          <w:sz w:val="24"/>
        </w:rPr>
        <w:t>Бюджети на социално и здравно-осигурителните фондове и бюджети по чл. 13, ал. 2 и ал. 3 на Закона за публичните финанси</w:t>
      </w:r>
    </w:p>
    <w:p w14:paraId="438A7CF8" w14:textId="77777777" w:rsidR="00936CD8" w:rsidRPr="00303BC4" w:rsidRDefault="00936CD8" w:rsidP="00751A2A">
      <w:pPr>
        <w:pStyle w:val="Heading1"/>
        <w:numPr>
          <w:ilvl w:val="1"/>
          <w:numId w:val="8"/>
        </w:numPr>
        <w:spacing w:before="240"/>
        <w:ind w:left="788" w:right="-108" w:hanging="431"/>
        <w:jc w:val="both"/>
        <w:rPr>
          <w:sz w:val="24"/>
        </w:rPr>
      </w:pPr>
      <w:r w:rsidRPr="00303BC4">
        <w:rPr>
          <w:sz w:val="24"/>
        </w:rPr>
        <w:t>Социално и здравно-осигурителни фондове</w:t>
      </w:r>
    </w:p>
    <w:p w14:paraId="32E90C56" w14:textId="77777777" w:rsidR="00303BC4" w:rsidRPr="006872EF" w:rsidRDefault="00303BC4" w:rsidP="003978B3">
      <w:pPr>
        <w:numPr>
          <w:ilvl w:val="1"/>
          <w:numId w:val="5"/>
        </w:numPr>
        <w:spacing w:before="240" w:line="276" w:lineRule="auto"/>
        <w:ind w:left="992" w:hanging="357"/>
        <w:jc w:val="both"/>
        <w:rPr>
          <w:b/>
          <w:bCs/>
        </w:rPr>
      </w:pPr>
      <w:r w:rsidRPr="006872EF">
        <w:rPr>
          <w:b/>
        </w:rPr>
        <w:t>Държавно обществено осигуряване</w:t>
      </w:r>
    </w:p>
    <w:p w14:paraId="318B1BB4" w14:textId="77777777" w:rsidR="00303BC4" w:rsidRPr="00716094" w:rsidRDefault="00303BC4" w:rsidP="00303BC4">
      <w:pPr>
        <w:ind w:firstLine="567"/>
        <w:jc w:val="both"/>
        <w:rPr>
          <w:rFonts w:eastAsiaTheme="minorHAnsi"/>
          <w:color w:val="0070C0"/>
        </w:rPr>
      </w:pPr>
      <w:r w:rsidRPr="006872EF">
        <w:t xml:space="preserve">Общата сума на </w:t>
      </w:r>
      <w:r w:rsidRPr="006872EF">
        <w:rPr>
          <w:b/>
        </w:rPr>
        <w:t>приходите, помощите и даренията</w:t>
      </w:r>
      <w:r w:rsidRPr="006872EF">
        <w:t xml:space="preserve"> по бюджета на Държавното обществено осигуряване (ДОО) към 31.03.2025 г. възлиза на 3 378,4 млн. лв. Съпоставени с първото тримесечие на 2024 г., приходите по бюджета на ДОО нарастват с</w:t>
      </w:r>
      <w:r w:rsidRPr="006872EF">
        <w:rPr>
          <w:lang w:val="ru-RU"/>
        </w:rPr>
        <w:t xml:space="preserve"> 352,2</w:t>
      </w:r>
      <w:r w:rsidRPr="006872EF">
        <w:t xml:space="preserve"> млн. лв. (11,6 %). Постъпилите средства представляват 22,2 % спрямо разчетените в Закона за бюджета на Държавното обществено осигуряване за 2025 г. (ЗБДОО за  2025 г.). Най-голям е делът на приходите от осигурителни вноски (98,2 % от общите приходи), които за отчетния период те са в размер на 3 317,0 млн. лв. Приходите от осигурителни вноски към 31.03.2025 г. са 22,0 % от разчетите към ЗБДОО за 2025 г.</w:t>
      </w:r>
    </w:p>
    <w:p w14:paraId="40B2A7C6" w14:textId="77777777" w:rsidR="00303BC4" w:rsidRPr="006872EF" w:rsidRDefault="00303BC4" w:rsidP="00303BC4">
      <w:pPr>
        <w:ind w:firstLine="567"/>
        <w:jc w:val="both"/>
        <w:rPr>
          <w:bCs/>
        </w:rPr>
      </w:pPr>
      <w:r w:rsidRPr="006872EF">
        <w:rPr>
          <w:bCs/>
        </w:rPr>
        <w:t>Отчетените неданъчни приходи към края на март 2025 г. по бюджета на ДОО възлизат на 61,4 млн. лв., в т.ч. 57,3 млн. лв. постъпили средства по чл. 4б, чл. 4в и чл. 69б от Кодекса за социално осигуряване (КСО)</w:t>
      </w:r>
      <w:r w:rsidRPr="006872EF">
        <w:t>.</w:t>
      </w:r>
      <w:r w:rsidRPr="006872EF">
        <w:rPr>
          <w:bCs/>
        </w:rPr>
        <w:t xml:space="preserve"> </w:t>
      </w:r>
    </w:p>
    <w:p w14:paraId="20DB398A" w14:textId="77777777" w:rsidR="00303BC4" w:rsidRPr="006872EF" w:rsidRDefault="00303BC4" w:rsidP="00303BC4">
      <w:pPr>
        <w:ind w:firstLine="567"/>
        <w:jc w:val="both"/>
        <w:rPr>
          <w:bCs/>
        </w:rPr>
      </w:pPr>
      <w:r w:rsidRPr="006872EF">
        <w:rPr>
          <w:bCs/>
        </w:rPr>
        <w:t>Получените трансфери от централния бюджет (вкл. за поети осигурителни вноски) за периода са 3 058,4 млн. лв.</w:t>
      </w:r>
    </w:p>
    <w:p w14:paraId="153B181C" w14:textId="77777777" w:rsidR="00303BC4" w:rsidRPr="007D240D" w:rsidRDefault="00303BC4" w:rsidP="00303BC4">
      <w:pPr>
        <w:tabs>
          <w:tab w:val="num" w:pos="1499"/>
          <w:tab w:val="num" w:pos="2148"/>
        </w:tabs>
        <w:ind w:firstLine="567"/>
        <w:jc w:val="both"/>
        <w:rPr>
          <w:bCs/>
        </w:rPr>
      </w:pPr>
      <w:r w:rsidRPr="006872EF">
        <w:rPr>
          <w:bCs/>
        </w:rPr>
        <w:t xml:space="preserve">Размерът на извършените </w:t>
      </w:r>
      <w:r w:rsidRPr="006872EF">
        <w:rPr>
          <w:b/>
          <w:bCs/>
        </w:rPr>
        <w:t xml:space="preserve">разходи </w:t>
      </w:r>
      <w:r w:rsidRPr="006872EF">
        <w:rPr>
          <w:bCs/>
        </w:rPr>
        <w:t xml:space="preserve">за първите три месеца на 2025 г. по бюджета на ДОО е 6 453,2 млн. лв. Спрямо същия период на миналата година общо разходите по бюджета на ДОО са със 740,1 млн. лв. (13,0 %) повече. Изразходваните средства представляват 23,6 % от разчетените със ЗБДОО 2025 г. разходи. От структурна гледна точка най-голям относителен дял в общите разходи заемат разходите за пенсии, обезщетения и помощи, изплащани на основание КСО – общо 6 408,6 млн. лв. или 99,3 </w:t>
      </w:r>
      <w:r w:rsidRPr="007D240D">
        <w:rPr>
          <w:bCs/>
        </w:rPr>
        <w:t xml:space="preserve">% от общия размер на разходите за отчетния период. </w:t>
      </w:r>
    </w:p>
    <w:p w14:paraId="1718ADC3" w14:textId="77777777" w:rsidR="00303BC4" w:rsidRPr="007D240D" w:rsidRDefault="00303BC4" w:rsidP="00303BC4">
      <w:pPr>
        <w:tabs>
          <w:tab w:val="num" w:pos="1499"/>
          <w:tab w:val="num" w:pos="2148"/>
        </w:tabs>
        <w:ind w:firstLine="567"/>
        <w:jc w:val="both"/>
        <w:rPr>
          <w:bCs/>
        </w:rPr>
      </w:pPr>
      <w:r w:rsidRPr="007D240D">
        <w:rPr>
          <w:bCs/>
        </w:rPr>
        <w:t xml:space="preserve">Отчетените разходи за </w:t>
      </w:r>
      <w:r w:rsidRPr="007D240D">
        <w:rPr>
          <w:b/>
          <w:bCs/>
        </w:rPr>
        <w:t>пенсии</w:t>
      </w:r>
      <w:r w:rsidRPr="007D240D">
        <w:rPr>
          <w:bCs/>
        </w:rPr>
        <w:t xml:space="preserve"> по бюджета на ДОО към 31.03.2025 г. възлизат на 5 729,8 млн. лв., което е с 665,1 млн. лв. повече спрямо първите трит месеца на 2024 г. и представляват 23,8 % от разчета за годината. Основната причина за това е изплащането през първото тримесечие на 2025 г. на осъвременените пенсии с 11 % от 1 юли 2024 г., вкл. увеличението на минималната пенсия.</w:t>
      </w:r>
    </w:p>
    <w:p w14:paraId="28CEBF2C" w14:textId="77777777" w:rsidR="00303BC4" w:rsidRPr="007510E5" w:rsidRDefault="00303BC4" w:rsidP="00303BC4">
      <w:pPr>
        <w:tabs>
          <w:tab w:val="num" w:pos="1499"/>
          <w:tab w:val="num" w:pos="2148"/>
        </w:tabs>
        <w:ind w:firstLine="567"/>
        <w:jc w:val="both"/>
      </w:pPr>
      <w:r w:rsidRPr="007D240D">
        <w:t xml:space="preserve">Отчетените разходи за </w:t>
      </w:r>
      <w:r w:rsidRPr="007D240D">
        <w:rPr>
          <w:b/>
        </w:rPr>
        <w:t>краткосрочни обезщетения и помощи по КСО</w:t>
      </w:r>
      <w:r w:rsidRPr="007D240D">
        <w:t xml:space="preserve"> са в размер на 678,8</w:t>
      </w:r>
      <w:r w:rsidR="00FF4541">
        <w:t> </w:t>
      </w:r>
      <w:r w:rsidRPr="007D240D">
        <w:t xml:space="preserve">млн. лева. Спрямо същия период на миналата година изплатените обезщетения </w:t>
      </w:r>
      <w:r w:rsidRPr="007510E5">
        <w:t>по КСО са със 73,7 млн. лв. (12,2 %) повече. Спрямо разчета в ЗБДОО за 2025 г. изпълнението е 22,1 %.</w:t>
      </w:r>
    </w:p>
    <w:p w14:paraId="1E88D0B4" w14:textId="77777777" w:rsidR="00303BC4" w:rsidRPr="007510E5" w:rsidRDefault="00303BC4" w:rsidP="00303BC4">
      <w:pPr>
        <w:numPr>
          <w:ilvl w:val="1"/>
          <w:numId w:val="5"/>
        </w:numPr>
        <w:tabs>
          <w:tab w:val="num" w:pos="709"/>
          <w:tab w:val="left" w:pos="851"/>
          <w:tab w:val="left" w:pos="1134"/>
        </w:tabs>
        <w:spacing w:before="240" w:line="276" w:lineRule="auto"/>
        <w:ind w:left="709" w:hanging="357"/>
        <w:jc w:val="both"/>
        <w:rPr>
          <w:b/>
          <w:bCs/>
        </w:rPr>
      </w:pPr>
      <w:r w:rsidRPr="007510E5">
        <w:rPr>
          <w:b/>
          <w:bCs/>
        </w:rPr>
        <w:t>Национална здравноосигурителна каса</w:t>
      </w:r>
    </w:p>
    <w:p w14:paraId="01BB5B71" w14:textId="77777777" w:rsidR="00303BC4" w:rsidRPr="00716094" w:rsidRDefault="00303BC4" w:rsidP="00303BC4">
      <w:pPr>
        <w:ind w:firstLine="567"/>
        <w:jc w:val="both"/>
        <w:rPr>
          <w:color w:val="0070C0"/>
        </w:rPr>
      </w:pPr>
      <w:r w:rsidRPr="007510E5">
        <w:t xml:space="preserve">Общият размер на събраните </w:t>
      </w:r>
      <w:r w:rsidRPr="007510E5">
        <w:rPr>
          <w:b/>
        </w:rPr>
        <w:t>приходи, помощи и дарения</w:t>
      </w:r>
      <w:r w:rsidRPr="007510E5">
        <w:t xml:space="preserve"> по бюджета на НЗОК за първото тримесечие на 2025 г. възлиза на 1 294,6 млн. лв., което е със 125,5 млн. лв.  (10,7 %) повече в сравнение със същия период на предходната година. Постъпилите средства представляват 22,4 % от предвидените в Закона за бюджета на Националната здравноосигурителна каса за 2025 г. (ЗБНЗОК за 2025 г.) приходи. Постъпленията от здравноосигурителни вноски са в размер на 1 286,9 млн. лв., което е 22,4 % от предвидените в ЗБНЗОК за 2025 г. и със 124,0 млн. лв. повече от първите три месеца на 2024 г. Събраните неданъчни приходи към 31.03.2025 г. са 7,7 млн. лв., като основната част от тях са приходи от глоби, санкции и наказателни лихви. </w:t>
      </w:r>
    </w:p>
    <w:p w14:paraId="0BAFAD8F" w14:textId="77777777" w:rsidR="00303BC4" w:rsidRPr="005238C4" w:rsidRDefault="00303BC4" w:rsidP="00303BC4">
      <w:pPr>
        <w:ind w:firstLine="567"/>
        <w:jc w:val="both"/>
        <w:rPr>
          <w:lang w:val="ru-RU"/>
        </w:rPr>
      </w:pPr>
      <w:r w:rsidRPr="00001460">
        <w:t>Полученият трансфер от МЗ за</w:t>
      </w:r>
      <w:r w:rsidRPr="00001460">
        <w:rPr>
          <w:szCs w:val="20"/>
        </w:rPr>
        <w:t xml:space="preserve"> финансиране на разходите </w:t>
      </w:r>
      <w:r w:rsidRPr="00001460">
        <w:t xml:space="preserve">за лекарствени продукти – ваксини и дейности по прилагането им по чл. 82, ал. 2, т. 3 от Закона за здравето; за дейности за здравно неосигурени лица, включващи: интензивно лечение; комплексно диспансерно (амбулаторно) наблюдение при пациенти с кожно-венерически и психиатрични заболявания; </w:t>
      </w:r>
      <w:r w:rsidRPr="00001460">
        <w:rPr>
          <w:szCs w:val="20"/>
        </w:rPr>
        <w:t>дейности по чл. 82, ал. 1, т. 2 от ЗЗ, за сумите по чл. 37, ал. 6 от Закона за здравното осигуряване (ЗЗО) и за медицински изделия, помощни средства, приспособления и съоръжения за хората с увреждания извън обхвата на задължителното здравно осигуряване</w:t>
      </w:r>
      <w:r w:rsidRPr="00001460">
        <w:t xml:space="preserve"> </w:t>
      </w:r>
      <w:r w:rsidRPr="00001460">
        <w:rPr>
          <w:szCs w:val="20"/>
        </w:rPr>
        <w:t>за отчетния период e в размер на 55,2</w:t>
      </w:r>
      <w:r w:rsidRPr="00001460">
        <w:t xml:space="preserve"> млн. лева.</w:t>
      </w:r>
    </w:p>
    <w:p w14:paraId="6DA20092" w14:textId="77777777" w:rsidR="00303BC4" w:rsidRPr="005238C4" w:rsidRDefault="00303BC4" w:rsidP="00303BC4">
      <w:pPr>
        <w:ind w:firstLine="567"/>
        <w:jc w:val="both"/>
      </w:pPr>
      <w:r w:rsidRPr="005238C4">
        <w:t xml:space="preserve">Получените трансфери от централния бюджет (вкл. за поети осигурителни вноски) за периода са 769,7 млн. лв. </w:t>
      </w:r>
    </w:p>
    <w:p w14:paraId="7AFCC5A8" w14:textId="77777777" w:rsidR="00303BC4" w:rsidRPr="005238C4" w:rsidRDefault="00303BC4" w:rsidP="00303BC4">
      <w:pPr>
        <w:ind w:firstLine="567"/>
        <w:jc w:val="both"/>
      </w:pPr>
      <w:r w:rsidRPr="005238C4">
        <w:t xml:space="preserve">Отчетените </w:t>
      </w:r>
      <w:r w:rsidRPr="005238C4">
        <w:rPr>
          <w:b/>
        </w:rPr>
        <w:t>разходи</w:t>
      </w:r>
      <w:r w:rsidRPr="005238C4">
        <w:t xml:space="preserve"> към 31.03.2025 г. са в размер на 2 106,1 млн. лв. и нарастват с 317,7</w:t>
      </w:r>
      <w:r w:rsidRPr="005238C4">
        <w:rPr>
          <w:lang w:val="en-US"/>
        </w:rPr>
        <w:t> </w:t>
      </w:r>
      <w:r w:rsidRPr="005238C4">
        <w:t>млн. лв. (17,8 %) спрямо същия период на миналата година. Спрямо годишните разчети извършените разходи представляват 22,2 %.</w:t>
      </w:r>
    </w:p>
    <w:p w14:paraId="4E37ACDA" w14:textId="77777777" w:rsidR="00303BC4" w:rsidRPr="005238C4" w:rsidRDefault="00303BC4" w:rsidP="00303BC4">
      <w:pPr>
        <w:ind w:firstLine="567"/>
        <w:jc w:val="both"/>
      </w:pPr>
      <w:r w:rsidRPr="005238C4">
        <w:t>Най-голям относителен дял в общите разходи (97,4 %) заемат здравноосигурителните плащания, които възлизат на 2 052,1 млн. лева. В отделните направления на здравноосигурителни плащания изпълнението на бюджета за първото тримесечие на 2025 г. е следното:</w:t>
      </w:r>
    </w:p>
    <w:p w14:paraId="48EEF38C" w14:textId="77777777" w:rsidR="00303BC4" w:rsidRPr="00E804FF" w:rsidRDefault="00303BC4" w:rsidP="00303BC4">
      <w:pPr>
        <w:numPr>
          <w:ilvl w:val="0"/>
          <w:numId w:val="13"/>
        </w:numPr>
        <w:tabs>
          <w:tab w:val="num" w:pos="0"/>
          <w:tab w:val="left" w:pos="720"/>
          <w:tab w:val="left" w:pos="1134"/>
        </w:tabs>
        <w:spacing w:before="120" w:line="276" w:lineRule="auto"/>
        <w:ind w:hanging="6169"/>
        <w:jc w:val="both"/>
        <w:rPr>
          <w:bCs/>
        </w:rPr>
      </w:pPr>
      <w:r w:rsidRPr="00E804FF">
        <w:rPr>
          <w:b/>
          <w:i/>
        </w:rPr>
        <w:t>първична извънболнична медицинска помощ</w:t>
      </w:r>
      <w:r w:rsidRPr="00E804FF">
        <w:rPr>
          <w:i/>
        </w:rPr>
        <w:t xml:space="preserve"> –</w:t>
      </w:r>
      <w:r w:rsidRPr="00E804FF">
        <w:t xml:space="preserve"> </w:t>
      </w:r>
      <w:r w:rsidRPr="00E804FF">
        <w:rPr>
          <w:lang w:val="ru-RU"/>
        </w:rPr>
        <w:t>135</w:t>
      </w:r>
      <w:r w:rsidRPr="00E804FF">
        <w:t>,9 млн. лева;</w:t>
      </w:r>
      <w:r w:rsidRPr="00E804FF">
        <w:rPr>
          <w:bCs/>
        </w:rPr>
        <w:t xml:space="preserve"> </w:t>
      </w:r>
    </w:p>
    <w:p w14:paraId="12021F39" w14:textId="77777777" w:rsidR="00303BC4" w:rsidRPr="00716094" w:rsidRDefault="00303BC4" w:rsidP="00303BC4">
      <w:pPr>
        <w:numPr>
          <w:ilvl w:val="0"/>
          <w:numId w:val="13"/>
        </w:numPr>
        <w:tabs>
          <w:tab w:val="num" w:pos="0"/>
          <w:tab w:val="left" w:pos="720"/>
          <w:tab w:val="left" w:pos="1134"/>
        </w:tabs>
        <w:spacing w:line="276" w:lineRule="auto"/>
        <w:ind w:hanging="6169"/>
        <w:jc w:val="both"/>
        <w:rPr>
          <w:i/>
          <w:color w:val="0070C0"/>
        </w:rPr>
      </w:pPr>
      <w:r w:rsidRPr="00E804FF">
        <w:rPr>
          <w:b/>
          <w:i/>
        </w:rPr>
        <w:t xml:space="preserve">специализирана извънболнична медицинска помощ </w:t>
      </w:r>
      <w:r w:rsidRPr="00E804FF">
        <w:t xml:space="preserve"> – </w:t>
      </w:r>
      <w:r w:rsidRPr="00E804FF">
        <w:rPr>
          <w:lang w:val="ru-RU"/>
        </w:rPr>
        <w:t>135</w:t>
      </w:r>
      <w:r w:rsidRPr="00E804FF">
        <w:t>,7 млн. лева;</w:t>
      </w:r>
    </w:p>
    <w:p w14:paraId="76748D9E" w14:textId="77777777" w:rsidR="00303BC4" w:rsidRPr="00E804FF" w:rsidRDefault="00303BC4" w:rsidP="00303BC4">
      <w:pPr>
        <w:numPr>
          <w:ilvl w:val="0"/>
          <w:numId w:val="13"/>
        </w:numPr>
        <w:tabs>
          <w:tab w:val="num" w:pos="0"/>
          <w:tab w:val="left" w:pos="720"/>
          <w:tab w:val="left" w:pos="1134"/>
        </w:tabs>
        <w:spacing w:line="276" w:lineRule="auto"/>
        <w:ind w:hanging="6169"/>
        <w:jc w:val="both"/>
        <w:rPr>
          <w:b/>
        </w:rPr>
      </w:pPr>
      <w:r w:rsidRPr="00E804FF">
        <w:rPr>
          <w:b/>
          <w:i/>
        </w:rPr>
        <w:t xml:space="preserve">дентална помощ </w:t>
      </w:r>
      <w:r w:rsidRPr="00E804FF">
        <w:rPr>
          <w:b/>
        </w:rPr>
        <w:t xml:space="preserve">– </w:t>
      </w:r>
      <w:r w:rsidRPr="00E804FF">
        <w:t>116,8 млн. лева;</w:t>
      </w:r>
    </w:p>
    <w:p w14:paraId="7069E446" w14:textId="77777777" w:rsidR="00303BC4" w:rsidRPr="00E804FF" w:rsidRDefault="00303BC4" w:rsidP="00303BC4">
      <w:pPr>
        <w:numPr>
          <w:ilvl w:val="0"/>
          <w:numId w:val="13"/>
        </w:numPr>
        <w:tabs>
          <w:tab w:val="num" w:pos="0"/>
          <w:tab w:val="left" w:pos="720"/>
          <w:tab w:val="left" w:pos="1134"/>
        </w:tabs>
        <w:spacing w:line="276" w:lineRule="auto"/>
        <w:ind w:hanging="6169"/>
        <w:jc w:val="both"/>
        <w:rPr>
          <w:b/>
          <w:i/>
        </w:rPr>
      </w:pPr>
      <w:r w:rsidRPr="00E804FF">
        <w:rPr>
          <w:b/>
          <w:i/>
        </w:rPr>
        <w:t xml:space="preserve">медико-диагностична дейност </w:t>
      </w:r>
      <w:r w:rsidRPr="00E804FF">
        <w:rPr>
          <w:b/>
        </w:rPr>
        <w:t xml:space="preserve">– </w:t>
      </w:r>
      <w:r w:rsidRPr="00E804FF">
        <w:t>58,9 млн. лева;</w:t>
      </w:r>
      <w:r w:rsidRPr="00E804FF">
        <w:rPr>
          <w:b/>
          <w:i/>
        </w:rPr>
        <w:t xml:space="preserve"> </w:t>
      </w:r>
    </w:p>
    <w:p w14:paraId="296757A1" w14:textId="77777777" w:rsidR="00303BC4" w:rsidRPr="00E804FF" w:rsidRDefault="00303BC4" w:rsidP="00303BC4">
      <w:pPr>
        <w:numPr>
          <w:ilvl w:val="0"/>
          <w:numId w:val="13"/>
        </w:numPr>
        <w:tabs>
          <w:tab w:val="num" w:pos="0"/>
          <w:tab w:val="left" w:pos="1134"/>
        </w:tabs>
        <w:spacing w:line="276" w:lineRule="auto"/>
        <w:ind w:left="1134" w:hanging="425"/>
        <w:jc w:val="both"/>
      </w:pPr>
      <w:r w:rsidRPr="00E804FF">
        <w:rPr>
          <w:b/>
          <w:i/>
        </w:rPr>
        <w:t xml:space="preserve">лекарствени продукти, медицински изделия и диетични храни за домашно лечение на територията на страната  - </w:t>
      </w:r>
      <w:r w:rsidRPr="00E804FF">
        <w:rPr>
          <w:lang w:val="ru-RU"/>
        </w:rPr>
        <w:t>297</w:t>
      </w:r>
      <w:r w:rsidRPr="00E804FF">
        <w:t>,3 млн. лв.</w:t>
      </w:r>
    </w:p>
    <w:p w14:paraId="7C997B40" w14:textId="77777777" w:rsidR="00303BC4" w:rsidRPr="00E804FF" w:rsidRDefault="00303BC4" w:rsidP="00303BC4">
      <w:pPr>
        <w:numPr>
          <w:ilvl w:val="0"/>
          <w:numId w:val="13"/>
        </w:numPr>
        <w:tabs>
          <w:tab w:val="num" w:pos="0"/>
          <w:tab w:val="left" w:pos="1134"/>
          <w:tab w:val="num" w:pos="6096"/>
        </w:tabs>
        <w:spacing w:line="276" w:lineRule="auto"/>
        <w:ind w:left="1134" w:hanging="425"/>
        <w:jc w:val="both"/>
      </w:pPr>
      <w:r w:rsidRPr="00E804FF">
        <w:rPr>
          <w:b/>
          <w:i/>
        </w:rPr>
        <w:t xml:space="preserve"> лекарствени продукти за лечение на злокачествени заболявания в условията на болнична медицинска помощ </w:t>
      </w:r>
      <w:r w:rsidRPr="00E804FF">
        <w:t xml:space="preserve"> – 301,2 млн. лева;</w:t>
      </w:r>
    </w:p>
    <w:p w14:paraId="271A3632" w14:textId="77777777" w:rsidR="00303BC4" w:rsidRPr="00E804FF" w:rsidRDefault="00303BC4" w:rsidP="00303BC4">
      <w:pPr>
        <w:numPr>
          <w:ilvl w:val="0"/>
          <w:numId w:val="13"/>
        </w:numPr>
        <w:tabs>
          <w:tab w:val="num" w:pos="0"/>
          <w:tab w:val="left" w:pos="720"/>
          <w:tab w:val="num" w:pos="1134"/>
        </w:tabs>
        <w:spacing w:line="276" w:lineRule="auto"/>
        <w:ind w:left="1134" w:hanging="425"/>
        <w:jc w:val="both"/>
      </w:pPr>
      <w:r w:rsidRPr="00E804FF">
        <w:rPr>
          <w:b/>
          <w:i/>
        </w:rPr>
        <w:t>медицински изделия, прилагани в болничната  помощ –</w:t>
      </w:r>
      <w:r w:rsidRPr="00E804FF">
        <w:t xml:space="preserve"> 47,3 млн. лева;</w:t>
      </w:r>
    </w:p>
    <w:p w14:paraId="339DDE07" w14:textId="77777777" w:rsidR="00303BC4" w:rsidRPr="00E804FF" w:rsidRDefault="00303BC4" w:rsidP="00303BC4">
      <w:pPr>
        <w:numPr>
          <w:ilvl w:val="0"/>
          <w:numId w:val="13"/>
        </w:numPr>
        <w:tabs>
          <w:tab w:val="num" w:pos="0"/>
          <w:tab w:val="left" w:pos="720"/>
          <w:tab w:val="left" w:pos="1134"/>
        </w:tabs>
        <w:spacing w:line="276" w:lineRule="auto"/>
        <w:ind w:hanging="6169"/>
        <w:jc w:val="both"/>
      </w:pPr>
      <w:r w:rsidRPr="00E804FF">
        <w:rPr>
          <w:b/>
          <w:i/>
        </w:rPr>
        <w:t>болнична медицинска помощ –</w:t>
      </w:r>
      <w:r w:rsidRPr="00E804FF">
        <w:t xml:space="preserve"> 952,9 млн. лева.</w:t>
      </w:r>
      <w:r w:rsidRPr="00E804FF">
        <w:tab/>
        <w:t xml:space="preserve"> </w:t>
      </w:r>
    </w:p>
    <w:p w14:paraId="4A5B7F6B" w14:textId="77777777" w:rsidR="00303BC4" w:rsidRPr="00E804FF" w:rsidRDefault="00303BC4" w:rsidP="00303BC4">
      <w:pPr>
        <w:numPr>
          <w:ilvl w:val="0"/>
          <w:numId w:val="13"/>
        </w:numPr>
        <w:tabs>
          <w:tab w:val="num" w:pos="0"/>
          <w:tab w:val="left" w:pos="720"/>
          <w:tab w:val="left" w:pos="1134"/>
        </w:tabs>
        <w:spacing w:line="276" w:lineRule="auto"/>
        <w:ind w:hanging="6169"/>
        <w:jc w:val="both"/>
      </w:pPr>
      <w:r w:rsidRPr="00E804FF">
        <w:rPr>
          <w:b/>
          <w:i/>
        </w:rPr>
        <w:t xml:space="preserve">други здравноосигурителни плащания </w:t>
      </w:r>
      <w:r w:rsidRPr="00E804FF">
        <w:t>– 6,0 млн. лева.</w:t>
      </w:r>
    </w:p>
    <w:p w14:paraId="333413A6" w14:textId="77777777" w:rsidR="00303BC4" w:rsidRPr="00001460" w:rsidRDefault="00303BC4" w:rsidP="00303BC4">
      <w:pPr>
        <w:spacing w:before="120"/>
        <w:ind w:firstLine="567"/>
        <w:jc w:val="both"/>
        <w:rPr>
          <w:color w:val="0070C0"/>
        </w:rPr>
      </w:pPr>
      <w:r w:rsidRPr="00001460">
        <w:t xml:space="preserve">Като здравноосигурителни плащания следва да се третират и преведените </w:t>
      </w:r>
      <w:r w:rsidRPr="00001460">
        <w:rPr>
          <w:lang w:val="ru-RU"/>
        </w:rPr>
        <w:t>4</w:t>
      </w:r>
      <w:r w:rsidRPr="00001460">
        <w:rPr>
          <w:lang w:val="en-US"/>
        </w:rPr>
        <w:t>7</w:t>
      </w:r>
      <w:r w:rsidRPr="00001460">
        <w:t>,</w:t>
      </w:r>
      <w:r w:rsidRPr="00001460">
        <w:rPr>
          <w:lang w:val="en-US"/>
        </w:rPr>
        <w:t>5</w:t>
      </w:r>
      <w:r w:rsidRPr="00001460">
        <w:t xml:space="preserve"> млн. лв. трансфери по договори за извършване на медицински услуги към бюджетни организации, в структурата на които има лечебни заведения по чл. 5 от Закона за лечебните заведения. Заедно с преведените трансфери усвоените средства за здравноосигурителни плащания възлизат на </w:t>
      </w:r>
      <w:r w:rsidRPr="00001460">
        <w:rPr>
          <w:lang w:val="en-US"/>
        </w:rPr>
        <w:t>2</w:t>
      </w:r>
      <w:r w:rsidRPr="00001460">
        <w:t> </w:t>
      </w:r>
      <w:r w:rsidRPr="00001460">
        <w:rPr>
          <w:lang w:val="en-US"/>
        </w:rPr>
        <w:t>099</w:t>
      </w:r>
      <w:r w:rsidRPr="00001460">
        <w:t>,</w:t>
      </w:r>
      <w:r w:rsidRPr="00001460">
        <w:rPr>
          <w:lang w:val="ru-RU"/>
        </w:rPr>
        <w:t>6</w:t>
      </w:r>
      <w:r w:rsidRPr="00001460">
        <w:t> млн. лв.</w:t>
      </w:r>
    </w:p>
    <w:p w14:paraId="6FE290BB" w14:textId="77777777" w:rsidR="00303BC4" w:rsidRPr="00FD5584" w:rsidRDefault="00303BC4" w:rsidP="00303BC4">
      <w:pPr>
        <w:ind w:firstLine="567"/>
        <w:jc w:val="both"/>
      </w:pPr>
      <w:r w:rsidRPr="00001460">
        <w:t xml:space="preserve">За периода са отчетени плащания в размер на </w:t>
      </w:r>
      <w:r w:rsidRPr="00001460">
        <w:rPr>
          <w:lang w:val="en-US"/>
        </w:rPr>
        <w:t>2</w:t>
      </w:r>
      <w:r w:rsidRPr="00001460">
        <w:rPr>
          <w:lang w:val="ru-RU"/>
        </w:rPr>
        <w:t>7</w:t>
      </w:r>
      <w:r w:rsidRPr="00001460">
        <w:t>,</w:t>
      </w:r>
      <w:r w:rsidRPr="00001460">
        <w:rPr>
          <w:lang w:val="en-US"/>
        </w:rPr>
        <w:t>8</w:t>
      </w:r>
      <w:r w:rsidRPr="00001460">
        <w:t xml:space="preserve"> млн. лв. за дейности за </w:t>
      </w:r>
      <w:proofErr w:type="spellStart"/>
      <w:r w:rsidRPr="00001460">
        <w:t>здравнонеосигурени</w:t>
      </w:r>
      <w:proofErr w:type="spellEnd"/>
      <w:r w:rsidRPr="00001460">
        <w:t xml:space="preserve"> лица, лекарствени продукти, потребителска такса, медицински изделия за хората с увреждания и за лечение на лица до 18 годишна възраст по чл.</w:t>
      </w:r>
      <w:r w:rsidRPr="00001460">
        <w:rPr>
          <w:lang w:val="en-US"/>
        </w:rPr>
        <w:t xml:space="preserve"> </w:t>
      </w:r>
      <w:r w:rsidRPr="00001460">
        <w:t>82, ал.</w:t>
      </w:r>
      <w:r w:rsidRPr="00001460">
        <w:rPr>
          <w:lang w:val="en-US"/>
        </w:rPr>
        <w:t xml:space="preserve"> </w:t>
      </w:r>
      <w:r w:rsidRPr="00001460">
        <w:t>1а, 3 и 6 от Закона за здравето и на лица над 18 годишна възраст по чл.82, ал.1а и 6.</w:t>
      </w:r>
    </w:p>
    <w:p w14:paraId="61D7566F" w14:textId="77777777" w:rsidR="00303BC4" w:rsidRPr="00716094" w:rsidRDefault="00303BC4" w:rsidP="00303BC4">
      <w:pPr>
        <w:ind w:firstLine="567"/>
        <w:jc w:val="both"/>
        <w:rPr>
          <w:color w:val="0070C0"/>
        </w:rPr>
      </w:pPr>
      <w:r w:rsidRPr="00FD5584">
        <w:t>За първите три месеца на годината са отчетени 2</w:t>
      </w:r>
      <w:r w:rsidRPr="00FD5584">
        <w:rPr>
          <w:lang w:val="en-US"/>
        </w:rPr>
        <w:t>6</w:t>
      </w:r>
      <w:r w:rsidRPr="00FD5584">
        <w:t>,</w:t>
      </w:r>
      <w:r w:rsidRPr="00FD5584">
        <w:rPr>
          <w:lang w:val="en-US"/>
        </w:rPr>
        <w:t>1</w:t>
      </w:r>
      <w:r w:rsidRPr="00FD5584">
        <w:t xml:space="preserve"> млн. лв. за административни разходи на институцията, които включват разходите за персонал, за текуща издръжка и лихвени плащания. Усвоените средства за административни разходи заемат 1,</w:t>
      </w:r>
      <w:r w:rsidRPr="00FD5584">
        <w:rPr>
          <w:lang w:val="en-US"/>
        </w:rPr>
        <w:t>2</w:t>
      </w:r>
      <w:r w:rsidRPr="00FD5584">
        <w:t xml:space="preserve"> на сто в структурата на общите разходи за отчетния период. Отчетените капиталови разходи за периода възлизат на </w:t>
      </w:r>
      <w:r w:rsidRPr="00FD5584">
        <w:rPr>
          <w:lang w:val="en-US"/>
        </w:rPr>
        <w:t>0</w:t>
      </w:r>
      <w:r w:rsidRPr="00FD5584">
        <w:t>,</w:t>
      </w:r>
      <w:r w:rsidRPr="00FD5584">
        <w:rPr>
          <w:lang w:val="en-US"/>
        </w:rPr>
        <w:t>1 </w:t>
      </w:r>
      <w:r w:rsidRPr="00FD5584">
        <w:t>млн. лева.</w:t>
      </w:r>
    </w:p>
    <w:p w14:paraId="1D1BCDF2" w14:textId="77777777" w:rsidR="00656380" w:rsidRPr="00716094" w:rsidRDefault="00656380" w:rsidP="002763DB">
      <w:pPr>
        <w:ind w:firstLine="567"/>
        <w:jc w:val="both"/>
        <w:rPr>
          <w:color w:val="0070C0"/>
        </w:rPr>
      </w:pPr>
    </w:p>
    <w:p w14:paraId="4EB88CC9" w14:textId="77777777" w:rsidR="00B6120B" w:rsidRPr="00F93D52" w:rsidRDefault="00B6120B" w:rsidP="00751A2A">
      <w:pPr>
        <w:pStyle w:val="Heading1"/>
        <w:numPr>
          <w:ilvl w:val="1"/>
          <w:numId w:val="8"/>
        </w:numPr>
        <w:spacing w:before="120"/>
        <w:ind w:left="788" w:right="-108" w:hanging="431"/>
        <w:jc w:val="both"/>
        <w:rPr>
          <w:sz w:val="24"/>
        </w:rPr>
      </w:pPr>
      <w:r w:rsidRPr="00F93D52">
        <w:rPr>
          <w:sz w:val="24"/>
        </w:rPr>
        <w:t>Общински бюджети</w:t>
      </w:r>
    </w:p>
    <w:p w14:paraId="18FDECFD" w14:textId="77777777" w:rsidR="00F93D52" w:rsidRPr="00EE57DC" w:rsidRDefault="00F93D52" w:rsidP="00F93D52">
      <w:pPr>
        <w:numPr>
          <w:ilvl w:val="0"/>
          <w:numId w:val="21"/>
        </w:numPr>
        <w:tabs>
          <w:tab w:val="left" w:pos="851"/>
        </w:tabs>
        <w:spacing w:before="240" w:line="276" w:lineRule="auto"/>
        <w:ind w:left="533" w:firstLine="34"/>
        <w:jc w:val="both"/>
        <w:rPr>
          <w:b/>
        </w:rPr>
      </w:pPr>
      <w:r w:rsidRPr="00EE57DC">
        <w:rPr>
          <w:b/>
        </w:rPr>
        <w:t>Приходи</w:t>
      </w:r>
    </w:p>
    <w:p w14:paraId="607963F3" w14:textId="77777777" w:rsidR="00F93D52" w:rsidRPr="00EE57DC" w:rsidRDefault="00F93D52" w:rsidP="00F93D52">
      <w:pPr>
        <w:ind w:firstLine="567"/>
        <w:jc w:val="both"/>
        <w:rPr>
          <w:i/>
          <w:color w:val="0070C0"/>
        </w:rPr>
      </w:pPr>
      <w:r w:rsidRPr="00EE57DC">
        <w:rPr>
          <w:b/>
        </w:rPr>
        <w:t>Приходите</w:t>
      </w:r>
      <w:r w:rsidRPr="00EE57DC">
        <w:t xml:space="preserve"> по бюдж</w:t>
      </w:r>
      <w:r w:rsidRPr="00CF1C4E">
        <w:t>етите на общините към 31.03.2025</w:t>
      </w:r>
      <w:r w:rsidRPr="00EE57DC">
        <w:t xml:space="preserve"> г. са в размер на </w:t>
      </w:r>
      <w:r w:rsidRPr="00CF1C4E">
        <w:rPr>
          <w:lang w:val="en-US"/>
        </w:rPr>
        <w:t xml:space="preserve">1 </w:t>
      </w:r>
      <w:r w:rsidRPr="00CF1C4E">
        <w:t>054,9</w:t>
      </w:r>
      <w:r w:rsidRPr="00EE57DC">
        <w:t xml:space="preserve"> м</w:t>
      </w:r>
      <w:r w:rsidRPr="00CF1C4E">
        <w:t>лн. лв., което представлява 24,9</w:t>
      </w:r>
      <w:r w:rsidRPr="00EE57DC">
        <w:t xml:space="preserve"> % </w:t>
      </w:r>
      <w:r w:rsidRPr="00CF1C4E">
        <w:t>от разчетените към ЗДБРБ за 2025</w:t>
      </w:r>
      <w:r w:rsidRPr="00EE57DC">
        <w:t xml:space="preserve"> г. постъпления в размер на </w:t>
      </w:r>
      <w:r w:rsidRPr="00CF1C4E">
        <w:rPr>
          <w:bCs/>
        </w:rPr>
        <w:t>4</w:t>
      </w:r>
      <w:r w:rsidRPr="00EE57DC">
        <w:rPr>
          <w:bCs/>
        </w:rPr>
        <w:t xml:space="preserve"> </w:t>
      </w:r>
      <w:r w:rsidRPr="00CF1C4E">
        <w:rPr>
          <w:bCs/>
          <w:lang w:val="ru-RU"/>
        </w:rPr>
        <w:t>240</w:t>
      </w:r>
      <w:r w:rsidRPr="00CF1C4E">
        <w:rPr>
          <w:bCs/>
        </w:rPr>
        <w:t>,4</w:t>
      </w:r>
      <w:r w:rsidRPr="00EE57DC">
        <w:t xml:space="preserve"> млн. лв. и с</w:t>
      </w:r>
      <w:r w:rsidRPr="00CF1C4E">
        <w:t>ъс 117,4</w:t>
      </w:r>
      <w:r w:rsidRPr="00EE57DC">
        <w:t xml:space="preserve"> млн. лв.</w:t>
      </w:r>
      <w:r w:rsidRPr="00EE57DC">
        <w:rPr>
          <w:lang w:val="ru-RU"/>
        </w:rPr>
        <w:t xml:space="preserve"> </w:t>
      </w:r>
      <w:r w:rsidRPr="00CF1C4E">
        <w:t>или с 12</w:t>
      </w:r>
      <w:r w:rsidRPr="00EE57DC">
        <w:t>,5 %  повече спрямо с</w:t>
      </w:r>
      <w:r w:rsidRPr="00CF1C4E">
        <w:t xml:space="preserve">ъбраните за същия период на </w:t>
      </w:r>
      <w:r>
        <w:t>2025 г.</w:t>
      </w:r>
      <w:r w:rsidRPr="00EE57DC">
        <w:t xml:space="preserve"> </w:t>
      </w:r>
      <w:r w:rsidRPr="00EE57DC">
        <w:rPr>
          <w:i/>
        </w:rPr>
        <w:t>Данъчните приходи</w:t>
      </w:r>
      <w:r w:rsidRPr="00EE57DC">
        <w:t xml:space="preserve"> по общинските бюджети са в размер на </w:t>
      </w:r>
      <w:r w:rsidRPr="00CF1C4E">
        <w:rPr>
          <w:lang w:val="en-US"/>
        </w:rPr>
        <w:t>501</w:t>
      </w:r>
      <w:r w:rsidRPr="00CF1C4E">
        <w:t>,7</w:t>
      </w:r>
      <w:r w:rsidRPr="00EE57DC">
        <w:t xml:space="preserve"> млн. лв. или </w:t>
      </w:r>
      <w:r w:rsidRPr="00CF1C4E">
        <w:rPr>
          <w:lang w:val="ru-RU"/>
        </w:rPr>
        <w:t>29,6</w:t>
      </w:r>
      <w:r w:rsidRPr="00EE57DC">
        <w:t> %  от год</w:t>
      </w:r>
      <w:r w:rsidRPr="00CF1C4E">
        <w:t>ишните разчети към ЗДБРБ за 2025 г. и с 12,0 % (53,6</w:t>
      </w:r>
      <w:r w:rsidRPr="00EE57DC">
        <w:t xml:space="preserve"> млн. лв.) повече спрямо тези за предходната година. </w:t>
      </w:r>
      <w:r w:rsidRPr="00EE57DC">
        <w:rPr>
          <w:i/>
        </w:rPr>
        <w:t>Неданъчните приходи и помощите</w:t>
      </w:r>
      <w:r w:rsidRPr="00EE57DC">
        <w:t xml:space="preserve"> възлизат на </w:t>
      </w:r>
      <w:r w:rsidRPr="003A6782">
        <w:rPr>
          <w:lang w:val="ru-RU"/>
        </w:rPr>
        <w:t>553</w:t>
      </w:r>
      <w:r w:rsidRPr="003A6782">
        <w:t>,2</w:t>
      </w:r>
      <w:r w:rsidRPr="00EE57DC">
        <w:t xml:space="preserve"> млн. лв. или 2</w:t>
      </w:r>
      <w:r w:rsidRPr="003A6782">
        <w:t>1,7 % от разчетите и 63,9</w:t>
      </w:r>
      <w:r w:rsidRPr="00EE57DC">
        <w:t xml:space="preserve"> млн. лв. по</w:t>
      </w:r>
      <w:r w:rsidRPr="003A6782">
        <w:t>вече</w:t>
      </w:r>
      <w:r w:rsidRPr="00EE57DC">
        <w:t xml:space="preserve"> спрямо първото тримесечие на предходната година. От имуществени данъци в о</w:t>
      </w:r>
      <w:r w:rsidRPr="00C8066C">
        <w:t>бщинските бюджети към 31.03.2025 г. са постъпили 496,0</w:t>
      </w:r>
      <w:r w:rsidRPr="00EE57DC">
        <w:t xml:space="preserve"> млн. лв. или</w:t>
      </w:r>
      <w:r w:rsidRPr="00C8066C">
        <w:rPr>
          <w:lang w:val="ru-RU"/>
        </w:rPr>
        <w:t xml:space="preserve"> 30,0</w:t>
      </w:r>
      <w:r w:rsidRPr="00EE57DC">
        <w:rPr>
          <w:lang w:val="ru-RU"/>
        </w:rPr>
        <w:t xml:space="preserve"> % </w:t>
      </w:r>
      <w:r w:rsidRPr="00EE57DC">
        <w:t xml:space="preserve">от годишния разчет и с </w:t>
      </w:r>
      <w:r w:rsidRPr="00C8066C">
        <w:t>53,4</w:t>
      </w:r>
      <w:r w:rsidRPr="00EE57DC">
        <w:t xml:space="preserve"> млн. лв.</w:t>
      </w:r>
      <w:r w:rsidRPr="00C8066C">
        <w:rPr>
          <w:lang w:val="ru-RU"/>
        </w:rPr>
        <w:t xml:space="preserve"> (12,1</w:t>
      </w:r>
      <w:r w:rsidRPr="00EE57DC">
        <w:rPr>
          <w:lang w:val="ru-RU"/>
        </w:rPr>
        <w:t xml:space="preserve"> %)</w:t>
      </w:r>
      <w:r w:rsidRPr="00EE57DC">
        <w:t xml:space="preserve"> повече спрямо същия период от миналата година. С най-значителен дял в приходите от имуществени данъци е данъкъ</w:t>
      </w:r>
      <w:r w:rsidRPr="00C8066C">
        <w:t>т върху превозните средства – 37,0</w:t>
      </w:r>
      <w:r w:rsidRPr="00EE57DC">
        <w:rPr>
          <w:lang w:val="ru-RU"/>
        </w:rPr>
        <w:t xml:space="preserve"> </w:t>
      </w:r>
      <w:r w:rsidRPr="00EE57DC">
        <w:t>%</w:t>
      </w:r>
      <w:r w:rsidRPr="00EE57DC">
        <w:rPr>
          <w:lang w:val="ru-RU"/>
        </w:rPr>
        <w:t xml:space="preserve">, </w:t>
      </w:r>
      <w:r w:rsidRPr="00EE57DC">
        <w:t>следват данъкът върху придобиването на имущество по дарения и възмезден начин</w:t>
      </w:r>
      <w:r w:rsidRPr="00C8066C">
        <w:rPr>
          <w:lang w:val="en-US"/>
        </w:rPr>
        <w:t xml:space="preserve"> - </w:t>
      </w:r>
      <w:r w:rsidRPr="00C8066C">
        <w:t>31,0</w:t>
      </w:r>
      <w:r w:rsidRPr="00EE57DC">
        <w:rPr>
          <w:lang w:val="en-US"/>
        </w:rPr>
        <w:t> </w:t>
      </w:r>
      <w:r w:rsidRPr="00EE57DC">
        <w:t>%</w:t>
      </w:r>
      <w:r w:rsidRPr="00C8066C">
        <w:rPr>
          <w:lang w:val="en-US"/>
        </w:rPr>
        <w:t>,</w:t>
      </w:r>
      <w:r w:rsidRPr="00EE57DC">
        <w:t xml:space="preserve"> данъкът върху недвижимите имоти –,</w:t>
      </w:r>
      <w:r w:rsidRPr="00C8066C">
        <w:t>– 30</w:t>
      </w:r>
      <w:r w:rsidRPr="00EE57DC">
        <w:t>,</w:t>
      </w:r>
      <w:r w:rsidRPr="00C8066C">
        <w:t>8</w:t>
      </w:r>
      <w:r w:rsidRPr="00EE57DC">
        <w:rPr>
          <w:lang w:val="ru-RU"/>
        </w:rPr>
        <w:t xml:space="preserve"> </w:t>
      </w:r>
      <w:r w:rsidRPr="00C8066C">
        <w:t>% и туристическият данък – 1,1</w:t>
      </w:r>
      <w:r w:rsidRPr="00EE57DC">
        <w:rPr>
          <w:lang w:val="ru-RU"/>
        </w:rPr>
        <w:t xml:space="preserve"> </w:t>
      </w:r>
      <w:r w:rsidRPr="00EE57DC">
        <w:t xml:space="preserve">%. Към </w:t>
      </w:r>
      <w:r w:rsidRPr="00C8066C">
        <w:t>31.03.2025 г.</w:t>
      </w:r>
      <w:r w:rsidRPr="00EE57DC">
        <w:t xml:space="preserve"> по бюджет</w:t>
      </w:r>
      <w:r w:rsidRPr="00C8066C">
        <w:t>ите на общините са постъпили 5,7</w:t>
      </w:r>
      <w:r w:rsidRPr="00EE57DC">
        <w:t xml:space="preserve"> млн. лв. от патентен данък и данък върху таксиметров превоз на пътници.</w:t>
      </w:r>
    </w:p>
    <w:p w14:paraId="2BFC4A67" w14:textId="77777777" w:rsidR="00F93D52" w:rsidRPr="00EE57DC" w:rsidRDefault="00F93D52" w:rsidP="00F93D52">
      <w:pPr>
        <w:tabs>
          <w:tab w:val="center" w:pos="4153"/>
          <w:tab w:val="right" w:pos="8306"/>
        </w:tabs>
        <w:ind w:firstLine="567"/>
        <w:jc w:val="both"/>
        <w:rPr>
          <w:color w:val="0070C0"/>
        </w:rPr>
      </w:pPr>
      <w:r w:rsidRPr="00EE57DC">
        <w:t>Общият размер на </w:t>
      </w:r>
      <w:r w:rsidRPr="00EE57DC">
        <w:rPr>
          <w:i/>
        </w:rPr>
        <w:t>неданъчните приходи</w:t>
      </w:r>
      <w:r w:rsidRPr="00EE57DC">
        <w:t xml:space="preserve"> по местните бюджети към 31 март </w:t>
      </w:r>
      <w:r w:rsidRPr="00C8066C">
        <w:t>2025 г.</w:t>
      </w:r>
      <w:r w:rsidRPr="00EE57DC">
        <w:t> е </w:t>
      </w:r>
      <w:r w:rsidRPr="00C8066C">
        <w:rPr>
          <w:lang w:val="ru-RU"/>
        </w:rPr>
        <w:t>548,2</w:t>
      </w:r>
      <w:r w:rsidRPr="00EE57DC">
        <w:rPr>
          <w:lang w:val="ru-RU"/>
        </w:rPr>
        <w:t> </w:t>
      </w:r>
      <w:r w:rsidRPr="00EE57DC">
        <w:t xml:space="preserve">млн. лв. Най-голям относителен дял в тях заемат </w:t>
      </w:r>
      <w:r w:rsidRPr="00C8066C">
        <w:t>приходите от общински такси (358,7</w:t>
      </w:r>
      <w:r w:rsidR="00090536">
        <w:rPr>
          <w:lang w:val="en-US"/>
        </w:rPr>
        <w:t> </w:t>
      </w:r>
      <w:r w:rsidRPr="00C8066C">
        <w:t>млн. лв.) или 65,4</w:t>
      </w:r>
      <w:r w:rsidRPr="00EE57DC">
        <w:rPr>
          <w:lang w:val="ru-RU"/>
        </w:rPr>
        <w:t xml:space="preserve"> </w:t>
      </w:r>
      <w:r w:rsidRPr="00EE57DC">
        <w:t>%, следват приходи</w:t>
      </w:r>
      <w:r w:rsidRPr="00C8066C">
        <w:t xml:space="preserve">те и доходите от собственост (97,1 млн. лв.) – </w:t>
      </w:r>
      <w:r w:rsidRPr="004357C9">
        <w:t>17,7</w:t>
      </w:r>
      <w:r w:rsidRPr="00EE57DC">
        <w:rPr>
          <w:lang w:val="en-US"/>
        </w:rPr>
        <w:t> </w:t>
      </w:r>
      <w:r w:rsidRPr="00EE57DC">
        <w:t>%, постъпленията от продажба на нефинансов</w:t>
      </w:r>
      <w:r w:rsidRPr="004357C9">
        <w:t>и активи (43,6 млн. лв.) – 8,0</w:t>
      </w:r>
      <w:r w:rsidRPr="00EE57DC">
        <w:rPr>
          <w:lang w:val="ru-RU"/>
        </w:rPr>
        <w:t xml:space="preserve"> </w:t>
      </w:r>
      <w:r w:rsidRPr="00EE57DC">
        <w:t xml:space="preserve">% </w:t>
      </w:r>
      <w:r w:rsidRPr="004357C9">
        <w:t>приходите от концесии (33,5 млн. лв.) 6,1</w:t>
      </w:r>
      <w:r w:rsidRPr="00EE57DC">
        <w:t xml:space="preserve"> %, постъпленията от глоби, санкции и наказателни лихви (2</w:t>
      </w:r>
      <w:r w:rsidRPr="004357C9">
        <w:rPr>
          <w:lang w:val="en-US"/>
        </w:rPr>
        <w:t>3</w:t>
      </w:r>
      <w:r w:rsidRPr="004357C9">
        <w:t>,6</w:t>
      </w:r>
      <w:r w:rsidRPr="00EE57DC">
        <w:rPr>
          <w:lang w:val="en-US"/>
        </w:rPr>
        <w:t> </w:t>
      </w:r>
      <w:r w:rsidRPr="004357C9">
        <w:t>млн. лв.) – 4,3</w:t>
      </w:r>
      <w:r w:rsidR="00090536">
        <w:rPr>
          <w:lang w:val="en-US"/>
        </w:rPr>
        <w:t> </w:t>
      </w:r>
      <w:r w:rsidRPr="00EE57DC">
        <w:t>%</w:t>
      </w:r>
      <w:r w:rsidRPr="004357C9">
        <w:rPr>
          <w:lang w:val="en-US"/>
        </w:rPr>
        <w:t xml:space="preserve"> </w:t>
      </w:r>
      <w:r w:rsidRPr="004357C9">
        <w:t xml:space="preserve">и други неданъчни приходи </w:t>
      </w:r>
      <w:r w:rsidRPr="004357C9">
        <w:rPr>
          <w:lang w:val="en-US"/>
        </w:rPr>
        <w:t xml:space="preserve">(6,0 </w:t>
      </w:r>
      <w:r w:rsidRPr="004357C9">
        <w:t>млн. лв.</w:t>
      </w:r>
      <w:r w:rsidRPr="004357C9">
        <w:rPr>
          <w:lang w:val="en-US"/>
        </w:rPr>
        <w:t>)</w:t>
      </w:r>
      <w:r w:rsidRPr="004357C9">
        <w:t xml:space="preserve"> – 1,1</w:t>
      </w:r>
      <w:r w:rsidRPr="004357C9">
        <w:rPr>
          <w:lang w:val="en-US"/>
        </w:rPr>
        <w:t> </w:t>
      </w:r>
      <w:r w:rsidRPr="004357C9">
        <w:t>%</w:t>
      </w:r>
      <w:r w:rsidRPr="00EE57DC">
        <w:t>. Съпостав</w:t>
      </w:r>
      <w:r w:rsidRPr="004357C9">
        <w:t>ени с първото тримесечие на 2024</w:t>
      </w:r>
      <w:r w:rsidRPr="00EE57DC">
        <w:t xml:space="preserve"> г. постъпленията от неданъчни приходи са с</w:t>
      </w:r>
      <w:r>
        <w:t xml:space="preserve"> 63,6</w:t>
      </w:r>
      <w:r w:rsidRPr="00EE57DC">
        <w:t xml:space="preserve"> млн. лв.</w:t>
      </w:r>
      <w:r w:rsidRPr="00EE57DC">
        <w:rPr>
          <w:lang w:val="ru-RU"/>
        </w:rPr>
        <w:t xml:space="preserve"> </w:t>
      </w:r>
      <w:r w:rsidRPr="00EE57DC">
        <w:t>по</w:t>
      </w:r>
      <w:r w:rsidRPr="004357C9">
        <w:t>вече</w:t>
      </w:r>
      <w:r w:rsidRPr="00EE57DC">
        <w:t xml:space="preserve">, като </w:t>
      </w:r>
      <w:r w:rsidRPr="004357C9">
        <w:t>се наблюдава ръст във всички неданъчни приходи.</w:t>
      </w:r>
    </w:p>
    <w:p w14:paraId="08BF2531" w14:textId="77777777" w:rsidR="00F93D52" w:rsidRPr="00EE57DC" w:rsidRDefault="00F93D52" w:rsidP="00F93D52">
      <w:pPr>
        <w:tabs>
          <w:tab w:val="center" w:pos="4153"/>
          <w:tab w:val="right" w:pos="8306"/>
        </w:tabs>
        <w:ind w:firstLine="567"/>
        <w:jc w:val="both"/>
        <w:rPr>
          <w:color w:val="0070C0"/>
          <w:lang w:eastAsia="bg-BG"/>
        </w:rPr>
      </w:pPr>
      <w:r w:rsidRPr="00EE57DC">
        <w:rPr>
          <w:color w:val="0070C0"/>
        </w:rPr>
        <w:tab/>
      </w:r>
      <w:r w:rsidRPr="00EE57DC">
        <w:t xml:space="preserve">Към </w:t>
      </w:r>
      <w:r w:rsidRPr="004357C9">
        <w:t>31.03.2025 г.</w:t>
      </w:r>
      <w:r w:rsidRPr="00EE57DC">
        <w:t xml:space="preserve"> по о</w:t>
      </w:r>
      <w:r w:rsidRPr="004357C9">
        <w:t>бщинските бюджети са постъпили 5,0</w:t>
      </w:r>
      <w:r w:rsidRPr="00EE57DC">
        <w:t xml:space="preserve"> млн. лв. приходи о</w:t>
      </w:r>
      <w:r w:rsidRPr="004357C9">
        <w:t>т помощи и дарения, които са с 0,2</w:t>
      </w:r>
      <w:r w:rsidRPr="00EE57DC">
        <w:t xml:space="preserve"> </w:t>
      </w:r>
      <w:r w:rsidRPr="004357C9">
        <w:t>млн. лв.</w:t>
      </w:r>
      <w:r w:rsidRPr="00EE57DC">
        <w:t xml:space="preserve">  повече от размера им през същия период на миналата година.</w:t>
      </w:r>
      <w:r w:rsidRPr="00EE57DC">
        <w:rPr>
          <w:lang w:eastAsia="bg-BG"/>
        </w:rPr>
        <w:t xml:space="preserve"> </w:t>
      </w:r>
    </w:p>
    <w:p w14:paraId="28027F20" w14:textId="77777777" w:rsidR="00F93D52" w:rsidRPr="00EE57DC" w:rsidRDefault="00F93D52" w:rsidP="00F93D52">
      <w:pPr>
        <w:numPr>
          <w:ilvl w:val="0"/>
          <w:numId w:val="21"/>
        </w:numPr>
        <w:tabs>
          <w:tab w:val="left" w:pos="851"/>
        </w:tabs>
        <w:spacing w:before="240" w:line="276" w:lineRule="auto"/>
        <w:ind w:left="533" w:firstLine="34"/>
        <w:jc w:val="both"/>
        <w:rPr>
          <w:b/>
        </w:rPr>
      </w:pPr>
      <w:r w:rsidRPr="00EE57DC">
        <w:rPr>
          <w:b/>
        </w:rPr>
        <w:t>Разходи</w:t>
      </w:r>
    </w:p>
    <w:p w14:paraId="02D3BC8E" w14:textId="77777777" w:rsidR="00F93D52" w:rsidRPr="00EE57DC" w:rsidRDefault="00F93D52" w:rsidP="00F93D52">
      <w:pPr>
        <w:ind w:firstLine="533"/>
        <w:jc w:val="both"/>
        <w:rPr>
          <w:color w:val="0070C0"/>
        </w:rPr>
      </w:pPr>
      <w:r w:rsidRPr="00EE57DC">
        <w:t xml:space="preserve">Към </w:t>
      </w:r>
      <w:r w:rsidRPr="004357C9">
        <w:t>31.03.2025 г.</w:t>
      </w:r>
      <w:r w:rsidRPr="00EE57DC">
        <w:t xml:space="preserve"> общините са отчели общо </w:t>
      </w:r>
      <w:r w:rsidRPr="00EE57DC">
        <w:rPr>
          <w:b/>
        </w:rPr>
        <w:t>разходи</w:t>
      </w:r>
      <w:r w:rsidRPr="00EE57DC">
        <w:t xml:space="preserve"> в размер на </w:t>
      </w:r>
      <w:r w:rsidRPr="004357C9">
        <w:t>2 846,9</w:t>
      </w:r>
      <w:r w:rsidRPr="00EE57DC">
        <w:t xml:space="preserve"> млн. лв., включително за сметка на предоставени допълнителни трансфери главно от държавния бюджет, и представляват </w:t>
      </w:r>
      <w:r w:rsidRPr="004357C9">
        <w:t>24,1</w:t>
      </w:r>
      <w:r w:rsidRPr="00EE57DC">
        <w:t xml:space="preserve"> % от разчетите по ЗДБРБ за </w:t>
      </w:r>
      <w:r w:rsidRPr="004357C9">
        <w:t>2025 г.</w:t>
      </w:r>
      <w:r w:rsidRPr="00EE57DC">
        <w:t xml:space="preserve"> и</w:t>
      </w:r>
      <w:r w:rsidRPr="00EE57DC">
        <w:rPr>
          <w:lang w:val="ru-RU"/>
        </w:rPr>
        <w:t xml:space="preserve"> </w:t>
      </w:r>
      <w:r w:rsidRPr="004357C9">
        <w:t>с 3</w:t>
      </w:r>
      <w:r w:rsidRPr="004357C9">
        <w:rPr>
          <w:lang w:val="ru-RU"/>
        </w:rPr>
        <w:t>,3 % (91,0</w:t>
      </w:r>
      <w:r w:rsidRPr="00EE57DC">
        <w:rPr>
          <w:lang w:val="ru-RU"/>
        </w:rPr>
        <w:t xml:space="preserve"> </w:t>
      </w:r>
      <w:r w:rsidRPr="00EE57DC">
        <w:t>млн. лв.</w:t>
      </w:r>
      <w:r w:rsidRPr="00EE57DC">
        <w:rPr>
          <w:lang w:val="ru-RU"/>
        </w:rPr>
        <w:t>)</w:t>
      </w:r>
      <w:r w:rsidRPr="00EE57DC">
        <w:t xml:space="preserve"> повече от същия период на миналата година</w:t>
      </w:r>
      <w:r w:rsidRPr="00EE57DC">
        <w:rPr>
          <w:lang w:val="ru-RU"/>
        </w:rPr>
        <w:t xml:space="preserve">. </w:t>
      </w:r>
      <w:r w:rsidRPr="00EE57DC">
        <w:rPr>
          <w:i/>
        </w:rPr>
        <w:t>Нелихвените разходи</w:t>
      </w:r>
      <w:r w:rsidRPr="00EE57DC">
        <w:t xml:space="preserve"> възлизат на </w:t>
      </w:r>
      <w:r w:rsidRPr="004357C9">
        <w:rPr>
          <w:lang w:eastAsia="bg-BG"/>
        </w:rPr>
        <w:t>2 834,3</w:t>
      </w:r>
      <w:r w:rsidRPr="00EE57DC">
        <w:rPr>
          <w:lang w:val="ru-RU" w:eastAsia="bg-BG"/>
        </w:rPr>
        <w:t xml:space="preserve"> </w:t>
      </w:r>
      <w:r w:rsidRPr="00EE57DC">
        <w:t>млн. лв.</w:t>
      </w:r>
      <w:r w:rsidRPr="00EE57DC">
        <w:rPr>
          <w:lang w:val="ru-RU"/>
        </w:rPr>
        <w:t xml:space="preserve"> С най-голям относителен дял са</w:t>
      </w:r>
      <w:r w:rsidRPr="00EE57DC">
        <w:t xml:space="preserve"> разходите за персонал (</w:t>
      </w:r>
      <w:r w:rsidRPr="00EE57DC">
        <w:rPr>
          <w:bCs/>
        </w:rPr>
        <w:t>заплати и възнаграждения, други възнаграждения и плащания за персонала и осигурителни вноски), които</w:t>
      </w:r>
      <w:r w:rsidRPr="00EE57DC">
        <w:t xml:space="preserve"> са в размер на </w:t>
      </w:r>
      <w:r w:rsidRPr="00EE57DC">
        <w:rPr>
          <w:lang w:val="ru-RU"/>
        </w:rPr>
        <w:t>1</w:t>
      </w:r>
      <w:r w:rsidRPr="00EE57DC">
        <w:t> </w:t>
      </w:r>
      <w:r w:rsidRPr="004357C9">
        <w:rPr>
          <w:lang w:val="ru-RU"/>
        </w:rPr>
        <w:t>821</w:t>
      </w:r>
      <w:r w:rsidRPr="004357C9">
        <w:t>,1 млн. лв. – 64,3</w:t>
      </w:r>
      <w:r w:rsidRPr="00EE57DC">
        <w:t xml:space="preserve"> %, следвани от  разходите за издръжка </w:t>
      </w:r>
      <w:r w:rsidRPr="00EE57DC">
        <w:rPr>
          <w:bCs/>
        </w:rPr>
        <w:t>(вкл. разходи за членски внос и участие в нетърговски организации и дейности, платени данъци, такси и административни санкции), които</w:t>
      </w:r>
      <w:r w:rsidRPr="00EE57DC">
        <w:t xml:space="preserve"> са в размер на</w:t>
      </w:r>
      <w:r w:rsidRPr="00EE57DC">
        <w:rPr>
          <w:lang w:val="ru-RU"/>
        </w:rPr>
        <w:t xml:space="preserve"> </w:t>
      </w:r>
      <w:r w:rsidRPr="004357C9">
        <w:rPr>
          <w:lang w:val="ru-RU"/>
        </w:rPr>
        <w:t>622</w:t>
      </w:r>
      <w:r w:rsidRPr="004357C9">
        <w:t>,6 млн. лв. – 22</w:t>
      </w:r>
      <w:r w:rsidRPr="00EE57DC">
        <w:t>,0</w:t>
      </w:r>
      <w:r w:rsidRPr="00EE57DC">
        <w:rPr>
          <w:lang w:val="en-US"/>
        </w:rPr>
        <w:t> </w:t>
      </w:r>
      <w:r w:rsidRPr="00EE57DC">
        <w:t>%. Разходите</w:t>
      </w:r>
      <w:r w:rsidRPr="00DE0B75">
        <w:t xml:space="preserve"> за субсидии възлизат на 130,1</w:t>
      </w:r>
      <w:r w:rsidRPr="00EE57DC">
        <w:t xml:space="preserve"> млн. лв. </w:t>
      </w:r>
      <w:r w:rsidRPr="00EE57DC">
        <w:rPr>
          <w:lang w:eastAsia="bg-BG"/>
        </w:rPr>
        <w:t>В разходите за субсидии за нефинансови предприятия се отчитат предоставените от общините субсидии за вътрешноградски и междуселищни превози на транспортните фирми и дружества, които се планират в централния бюджет, както и тези, които се предоставят по решение на общинския съвет. Като разходи за субсидии за организации с нестопанска цел се отчитат отпусканите по решение на общинския съвет субсидии по реда на Закона за физкултурата и спорта за подпомагане дейността на спортните клубове в общините</w:t>
      </w:r>
      <w:r w:rsidRPr="00EE57DC">
        <w:rPr>
          <w:lang w:val="ru-RU" w:eastAsia="bg-BG"/>
        </w:rPr>
        <w:t xml:space="preserve"> (</w:t>
      </w:r>
      <w:r w:rsidRPr="00EE57DC">
        <w:rPr>
          <w:lang w:eastAsia="bg-BG"/>
        </w:rPr>
        <w:t>отчитат се в местните дейности</w:t>
      </w:r>
      <w:r w:rsidRPr="00EE57DC">
        <w:rPr>
          <w:lang w:val="ru-RU" w:eastAsia="bg-BG"/>
        </w:rPr>
        <w:t>)</w:t>
      </w:r>
      <w:r w:rsidRPr="00EE57DC">
        <w:rPr>
          <w:lang w:eastAsia="bg-BG"/>
        </w:rPr>
        <w:t>.</w:t>
      </w:r>
      <w:r w:rsidRPr="00EE57DC">
        <w:t xml:space="preserve"> </w:t>
      </w:r>
      <w:r w:rsidRPr="00EE57DC">
        <w:rPr>
          <w:bCs/>
        </w:rPr>
        <w:t>Социалните разходи (</w:t>
      </w:r>
      <w:r w:rsidRPr="00EE57DC">
        <w:t xml:space="preserve">текущи трансфери, обезщетения и помощи за домакинствата, </w:t>
      </w:r>
      <w:r w:rsidRPr="00EE57DC">
        <w:rPr>
          <w:bCs/>
        </w:rPr>
        <w:t>вкл. разходите за стипендии)</w:t>
      </w:r>
      <w:r w:rsidRPr="00EE57DC">
        <w:t xml:space="preserve"> са в размер на </w:t>
      </w:r>
      <w:r w:rsidRPr="00DE0B75">
        <w:rPr>
          <w:lang w:val="ru-RU"/>
        </w:rPr>
        <w:t>87</w:t>
      </w:r>
      <w:r w:rsidRPr="00DE0B75">
        <w:t>,0</w:t>
      </w:r>
      <w:r w:rsidRPr="00EE57DC">
        <w:t> млн. лева.</w:t>
      </w:r>
    </w:p>
    <w:p w14:paraId="0FF54378" w14:textId="77777777" w:rsidR="00F93D52" w:rsidRPr="00EE57DC" w:rsidRDefault="00F93D52" w:rsidP="00F93D52">
      <w:pPr>
        <w:widowControl w:val="0"/>
        <w:tabs>
          <w:tab w:val="center" w:pos="4153"/>
          <w:tab w:val="right" w:pos="8306"/>
        </w:tabs>
        <w:ind w:firstLine="567"/>
        <w:jc w:val="both"/>
      </w:pPr>
      <w:r w:rsidRPr="00EE57DC">
        <w:t xml:space="preserve">Капиталовите разходи са в размер на </w:t>
      </w:r>
      <w:r w:rsidRPr="00DE0B75">
        <w:rPr>
          <w:lang w:val="en-US"/>
        </w:rPr>
        <w:t>173</w:t>
      </w:r>
      <w:r w:rsidRPr="00DE0B75">
        <w:t>,5</w:t>
      </w:r>
      <w:r w:rsidRPr="00EE57DC">
        <w:t xml:space="preserve"> млн. лв., което е с </w:t>
      </w:r>
      <w:r w:rsidRPr="00DE0B75">
        <w:rPr>
          <w:lang w:val="en-US"/>
        </w:rPr>
        <w:t>84</w:t>
      </w:r>
      <w:r w:rsidRPr="00DE0B75">
        <w:t>,1</w:t>
      </w:r>
      <w:r w:rsidRPr="00EE57DC">
        <w:t xml:space="preserve"> млн. лв. </w:t>
      </w:r>
      <w:r w:rsidRPr="00DE0B75">
        <w:t xml:space="preserve">по-малко </w:t>
      </w:r>
      <w:r w:rsidRPr="00EE57DC">
        <w:t xml:space="preserve">от </w:t>
      </w:r>
      <w:r w:rsidRPr="00DE0B75">
        <w:t>същия период на миналата година, което е в резултат от прилагане на разпоредбата на чл. 98 от Закона за публичните финанси.</w:t>
      </w:r>
      <w:r w:rsidRPr="00EE57DC">
        <w:t xml:space="preserve"> От общия обем на направените капит</w:t>
      </w:r>
      <w:r w:rsidRPr="00DE0B75">
        <w:t>алови разходи най-съществен дял - 58,7</w:t>
      </w:r>
      <w:r w:rsidRPr="00EE57DC">
        <w:rPr>
          <w:lang w:val="ru-RU"/>
        </w:rPr>
        <w:t xml:space="preserve"> </w:t>
      </w:r>
      <w:r w:rsidRPr="00EE57DC">
        <w:t>% заемат разходите за придобиване на ДМА</w:t>
      </w:r>
      <w:r w:rsidRPr="00DE0B75">
        <w:t xml:space="preserve"> – 101,9 млн. лв. и за</w:t>
      </w:r>
      <w:r w:rsidRPr="00EE57DC">
        <w:t xml:space="preserve"> </w:t>
      </w:r>
      <w:r w:rsidRPr="00DE0B75">
        <w:t>основен ремонт</w:t>
      </w:r>
      <w:r w:rsidRPr="00EE57DC">
        <w:t xml:space="preserve"> </w:t>
      </w:r>
      <w:r w:rsidRPr="00DE0B75">
        <w:t>- 37,1</w:t>
      </w:r>
      <w:r w:rsidRPr="00EE57DC">
        <w:rPr>
          <w:lang w:val="ru-RU"/>
        </w:rPr>
        <w:t xml:space="preserve"> </w:t>
      </w:r>
      <w:r w:rsidRPr="00EE57DC">
        <w:t xml:space="preserve">% дял, </w:t>
      </w:r>
      <w:r w:rsidRPr="00DE0B75">
        <w:t>64,3</w:t>
      </w:r>
      <w:r w:rsidRPr="00EE57DC">
        <w:t xml:space="preserve"> млн. лева.</w:t>
      </w:r>
    </w:p>
    <w:p w14:paraId="4F2A08B2" w14:textId="77777777" w:rsidR="00F93D52" w:rsidRPr="00EE57DC" w:rsidRDefault="00F93D52" w:rsidP="00F93D52">
      <w:pPr>
        <w:widowControl w:val="0"/>
        <w:tabs>
          <w:tab w:val="center" w:pos="4153"/>
          <w:tab w:val="right" w:pos="8306"/>
        </w:tabs>
        <w:ind w:firstLine="567"/>
        <w:jc w:val="both"/>
        <w:rPr>
          <w:rFonts w:eastAsia="Calibri"/>
          <w:color w:val="0070C0"/>
          <w:sz w:val="8"/>
        </w:rPr>
      </w:pPr>
      <w:r w:rsidRPr="00EE57DC">
        <w:rPr>
          <w:i/>
        </w:rPr>
        <w:t xml:space="preserve">Разходите за лихви към </w:t>
      </w:r>
      <w:r w:rsidRPr="00DE0B75">
        <w:t>31.03.2025 г. възлизат на 12,6</w:t>
      </w:r>
      <w:r w:rsidRPr="00EE57DC">
        <w:t xml:space="preserve"> м</w:t>
      </w:r>
      <w:r>
        <w:t>лн. лв. Към същия период на 2024</w:t>
      </w:r>
      <w:r w:rsidRPr="00EE57DC">
        <w:rPr>
          <w:lang w:val="en-US"/>
        </w:rPr>
        <w:t> </w:t>
      </w:r>
      <w:r w:rsidRPr="00DE0B75">
        <w:t>г. те са били 14,</w:t>
      </w:r>
      <w:r>
        <w:t>7 млн. лв. или с 2,2</w:t>
      </w:r>
      <w:r w:rsidRPr="00EE57DC">
        <w:t xml:space="preserve"> млн. лв. по-малко. Лихвените плащания за първото тримесечие на тази година по з</w:t>
      </w:r>
      <w:r w:rsidRPr="00FE417B">
        <w:t>аеми от чужбина са в размер на 5,1</w:t>
      </w:r>
      <w:r w:rsidRPr="00EE57DC">
        <w:t xml:space="preserve"> млн. лв. </w:t>
      </w:r>
      <w:r w:rsidRPr="00FE417B">
        <w:t xml:space="preserve"> при 3,9 млн. лв. към същия период на миналата година, като най-голям размер е отчетен от Столична община </w:t>
      </w:r>
      <w:r w:rsidRPr="00FE417B">
        <w:rPr>
          <w:lang w:val="en-US"/>
        </w:rPr>
        <w:t>(5,0</w:t>
      </w:r>
      <w:r w:rsidRPr="00FE417B">
        <w:t xml:space="preserve"> млн. лв.</w:t>
      </w:r>
      <w:r w:rsidRPr="00FE417B">
        <w:rPr>
          <w:lang w:val="en-US"/>
        </w:rPr>
        <w:t>).</w:t>
      </w:r>
      <w:r w:rsidRPr="00FE417B">
        <w:t xml:space="preserve"> </w:t>
      </w:r>
      <w:r w:rsidRPr="00EE57DC">
        <w:t xml:space="preserve"> По облигационни заеми п</w:t>
      </w:r>
      <w:r w:rsidRPr="00FE417B">
        <w:t>латените лихви са 0,4</w:t>
      </w:r>
      <w:r w:rsidRPr="00EE57DC">
        <w:t xml:space="preserve"> млн. лв., а по други вътрешни заеми към местни лица (</w:t>
      </w:r>
      <w:r w:rsidRPr="00FE417B">
        <w:t>заеми от банки</w:t>
      </w:r>
      <w:r w:rsidRPr="00EE57DC">
        <w:t>, заеми към „ФЛАГ“</w:t>
      </w:r>
      <w:r w:rsidRPr="00FE417B">
        <w:t xml:space="preserve"> ЕАД и към др. местни лица) са 6,2</w:t>
      </w:r>
      <w:r w:rsidRPr="00EE57DC">
        <w:t xml:space="preserve"> млн. лв., като при тях е най-голямото </w:t>
      </w:r>
      <w:r w:rsidRPr="00FE417B">
        <w:t>намаление спрямо 2024 </w:t>
      </w:r>
      <w:r w:rsidRPr="00EE57DC">
        <w:t xml:space="preserve">г. </w:t>
      </w:r>
      <w:r w:rsidRPr="00EE57DC">
        <w:rPr>
          <w:lang w:val="ru-RU"/>
        </w:rPr>
        <w:t>(</w:t>
      </w:r>
      <w:r w:rsidRPr="00FE417B">
        <w:t>към 31.03. 2024 г. те са били 7,8</w:t>
      </w:r>
      <w:r w:rsidRPr="00EE57DC">
        <w:t xml:space="preserve"> млн. лв.</w:t>
      </w:r>
      <w:r w:rsidRPr="00FE417B">
        <w:t xml:space="preserve"> или с 1,6 млн. лв. повече</w:t>
      </w:r>
      <w:r w:rsidRPr="00EE57DC">
        <w:rPr>
          <w:lang w:val="ru-RU"/>
        </w:rPr>
        <w:t>).</w:t>
      </w:r>
      <w:r w:rsidRPr="00EE57DC">
        <w:t xml:space="preserve"> </w:t>
      </w:r>
      <w:r w:rsidRPr="00FE417B">
        <w:t>Общините отчитат и други разходи за лихви към местни лица в размер на 0,9 млн. лв. (с 1,7 млн. лв. по-малко в сравнение със същия период на миналата година).</w:t>
      </w:r>
      <w:r w:rsidRPr="00FE417B">
        <w:rPr>
          <w:color w:val="0070C0"/>
        </w:rPr>
        <w:tab/>
      </w:r>
    </w:p>
    <w:p w14:paraId="1A9C64B1" w14:textId="77777777" w:rsidR="00F93D52" w:rsidRPr="00EE57DC" w:rsidRDefault="00F93D52" w:rsidP="00F93D52">
      <w:pPr>
        <w:numPr>
          <w:ilvl w:val="0"/>
          <w:numId w:val="21"/>
        </w:numPr>
        <w:tabs>
          <w:tab w:val="left" w:pos="851"/>
        </w:tabs>
        <w:spacing w:before="240" w:line="276" w:lineRule="auto"/>
        <w:ind w:left="533" w:firstLine="34"/>
        <w:jc w:val="both"/>
        <w:rPr>
          <w:b/>
        </w:rPr>
      </w:pPr>
      <w:r w:rsidRPr="00EE57DC">
        <w:rPr>
          <w:b/>
        </w:rPr>
        <w:t>Финансиране</w:t>
      </w:r>
    </w:p>
    <w:p w14:paraId="7CCF8D79" w14:textId="77777777" w:rsidR="00F93D52" w:rsidRPr="00EE57DC" w:rsidRDefault="00F93D52" w:rsidP="00F93D52">
      <w:pPr>
        <w:ind w:firstLine="567"/>
        <w:jc w:val="both"/>
      </w:pPr>
      <w:r w:rsidRPr="00FE417B">
        <w:t>Към 31.03.2025 г. от договори с чуждестранни кредитори</w:t>
      </w:r>
      <w:r w:rsidRPr="00574B65">
        <w:t xml:space="preserve"> </w:t>
      </w:r>
      <w:r>
        <w:t>по общинските бюджети</w:t>
      </w:r>
      <w:r>
        <w:rPr>
          <w:lang w:val="en-US"/>
        </w:rPr>
        <w:t xml:space="preserve"> </w:t>
      </w:r>
      <w:r>
        <w:t>са получени заемни средства</w:t>
      </w:r>
      <w:r w:rsidRPr="00FE417B">
        <w:t xml:space="preserve"> в размер на 121,3 млн. лв. Основно средствата са отчетени от Столична община (117,3 млн. лв.), като те са за финансиране на проекти за осигуряване на транспортна свързаност и достъпна среда, както и за ра</w:t>
      </w:r>
      <w:r>
        <w:t>зширяване на метрото. Средства</w:t>
      </w:r>
      <w:r w:rsidRPr="00FE417B">
        <w:t>, в размер на 4,0 млн. лв., са отчетени от община Бургас и са предназначени за финансиране на проект по изграждане на Многопрофилна болница за активно лечение на детски болести – Бургас.</w:t>
      </w:r>
    </w:p>
    <w:p w14:paraId="41735D7B" w14:textId="77777777" w:rsidR="00F93D52" w:rsidRPr="00FE417B" w:rsidRDefault="00F93D52" w:rsidP="00F93D52">
      <w:pPr>
        <w:ind w:firstLine="567"/>
        <w:jc w:val="both"/>
      </w:pPr>
      <w:r w:rsidRPr="00EE57DC">
        <w:t xml:space="preserve">Изплатените главници от общинските бюджети по външните заеми </w:t>
      </w:r>
      <w:r w:rsidRPr="00FE417B">
        <w:t xml:space="preserve">за същия период са в размер на 8,7 млн. лв.  основно </w:t>
      </w:r>
      <w:r w:rsidRPr="00EE57DC">
        <w:t>от Столична община</w:t>
      </w:r>
      <w:r w:rsidRPr="00FE417B">
        <w:t>.</w:t>
      </w:r>
      <w:r w:rsidRPr="00EE57DC">
        <w:t xml:space="preserve"> </w:t>
      </w:r>
    </w:p>
    <w:p w14:paraId="01D621B6" w14:textId="77777777" w:rsidR="00F93D52" w:rsidRPr="00D4092D" w:rsidRDefault="00F93D52" w:rsidP="00F93D52">
      <w:pPr>
        <w:ind w:firstLine="567"/>
        <w:jc w:val="both"/>
      </w:pPr>
      <w:r w:rsidRPr="00D4092D">
        <w:t>За първото тримесечие на 2025 г. получените заемни средства от банки в страната, отчетени по общинските бюджети, са в размер на 27,3 млн. лв., а от други местни лица са 10,5 млн. лв. („ФЛАГ“ ЕАД) или общо получените заемни средства от лица в страната са 37,8 млн. лв. Изплатените от общините главници по банкови заеми от страната са отчетени в размер на 24,1</w:t>
      </w:r>
      <w:r w:rsidR="00B27DEF">
        <w:rPr>
          <w:lang w:val="en-US"/>
        </w:rPr>
        <w:t> </w:t>
      </w:r>
      <w:r w:rsidRPr="00D4092D">
        <w:t>млн. лв. Погасените главници  по заеми от др. лица от страната са 21,0 млн. лв., в т.ч. 17,1</w:t>
      </w:r>
      <w:r w:rsidR="00B27DEF">
        <w:rPr>
          <w:lang w:val="en-US"/>
        </w:rPr>
        <w:t> </w:t>
      </w:r>
      <w:r w:rsidRPr="00D4092D">
        <w:t>млн. лв. към „ФЛАГ“ ЕАД, а останалите са по заеми към Фонд „Енергийна ефективност и възобновяеми източници“ и към други кредитори по договори за заеми по финансов инструмент, управляван от „Фонд Мениджър на финансови инструменти в България“ ЕАД. Общият размер на погашенията за периода по заемите от страната (45,1 млн. лв.) е по-голям от получените заемни средства за същия период, поради което нетният размер на операциите по тези заеми за първото тримесечие за 2025</w:t>
      </w:r>
      <w:r>
        <w:rPr>
          <w:lang w:val="en-US"/>
        </w:rPr>
        <w:t> </w:t>
      </w:r>
      <w:r w:rsidRPr="00D4092D">
        <w:t xml:space="preserve">г. е отрицателен (- 7,3) млн. лв. За същия период на 2024 г. общините са обслужвали повече дълг (платени са главници в размер на 67,2 млн. лв.), а получените от тях заемни средства от местни лица са били по-малко (24,8 млн. лв. ). </w:t>
      </w:r>
    </w:p>
    <w:p w14:paraId="0ED7F76C" w14:textId="77777777" w:rsidR="00F93D52" w:rsidRPr="00D4092D" w:rsidRDefault="00F93D52" w:rsidP="00F93D52">
      <w:pPr>
        <w:ind w:firstLine="567"/>
        <w:jc w:val="both"/>
      </w:pPr>
      <w:r w:rsidRPr="00D4092D">
        <w:t xml:space="preserve">Погашенията за периода по емитирани през предходни периоди общински ценни книжа са отчетени в размер на 1,4 млн. лв. от 3 общини. </w:t>
      </w:r>
    </w:p>
    <w:p w14:paraId="0E3B9579" w14:textId="77777777" w:rsidR="00F93D52" w:rsidRPr="00D4092D" w:rsidRDefault="00F93D52" w:rsidP="00F93D52">
      <w:pPr>
        <w:ind w:firstLine="567"/>
        <w:jc w:val="both"/>
      </w:pPr>
      <w:r w:rsidRPr="00D4092D">
        <w:t>За отчетния период няма емитиран нов общински дълг.</w:t>
      </w:r>
    </w:p>
    <w:p w14:paraId="1EE20605" w14:textId="77777777" w:rsidR="00F93D52" w:rsidRPr="00D4092D" w:rsidRDefault="00F93D52" w:rsidP="00F93D52">
      <w:pPr>
        <w:ind w:firstLine="567"/>
        <w:jc w:val="both"/>
        <w:rPr>
          <w:noProof/>
        </w:rPr>
      </w:pPr>
      <w:r w:rsidRPr="00D4092D">
        <w:rPr>
          <w:noProof/>
        </w:rPr>
        <w:t>Другото финансиране /нето/ по общинските бюджети към 31.03.2025 г. е 2,0 млн. лв., като съществена част от него представляват отчетените операции по Закона за управление на отпадъците. Нетният размер за периода на задълженията и погашенията по финансов лизинг и търговски кредит</w:t>
      </w:r>
      <w:r>
        <w:rPr>
          <w:noProof/>
        </w:rPr>
        <w:t>и, като форми на дълг</w:t>
      </w:r>
      <w:r w:rsidRPr="00D4092D">
        <w:rPr>
          <w:noProof/>
        </w:rPr>
        <w:t xml:space="preserve"> е в размер на 2,6 млн. лв. (3,4 млн. лв. задължения и 0,8</w:t>
      </w:r>
      <w:r w:rsidR="00B27DEF">
        <w:rPr>
          <w:noProof/>
          <w:lang w:val="en-US"/>
        </w:rPr>
        <w:t> </w:t>
      </w:r>
      <w:r w:rsidRPr="00D4092D">
        <w:rPr>
          <w:noProof/>
        </w:rPr>
        <w:t>млн. лв. погашения).</w:t>
      </w:r>
    </w:p>
    <w:p w14:paraId="600DB718" w14:textId="77777777" w:rsidR="00F93D52" w:rsidRPr="00D4092D" w:rsidRDefault="00F93D52" w:rsidP="00F93D52">
      <w:pPr>
        <w:ind w:firstLine="567"/>
        <w:jc w:val="both"/>
        <w:rPr>
          <w:noProof/>
        </w:rPr>
      </w:pPr>
      <w:r w:rsidRPr="00D4092D">
        <w:rPr>
          <w:noProof/>
        </w:rPr>
        <w:t>Нетният размер на събраните средства и извършени плащания от общините за сметка на други бюджети, сметки и фондове е положителен и е в размер на 4,9 млн. лв.</w:t>
      </w:r>
    </w:p>
    <w:p w14:paraId="0936064A" w14:textId="77777777" w:rsidR="00F93D52" w:rsidRPr="00D4092D" w:rsidRDefault="00F93D52" w:rsidP="00F93D52">
      <w:pPr>
        <w:ind w:firstLine="567"/>
        <w:jc w:val="both"/>
        <w:rPr>
          <w:noProof/>
        </w:rPr>
      </w:pPr>
      <w:r w:rsidRPr="00D4092D">
        <w:rPr>
          <w:noProof/>
        </w:rPr>
        <w:t xml:space="preserve">Към 31.03.2025 г. отчетеният от общините нетен размер на операциите по придобиване на дялове, акции и съучастия е в размер на (-0,1) млн. лв. </w:t>
      </w:r>
    </w:p>
    <w:p w14:paraId="789BEDF1" w14:textId="77777777" w:rsidR="00F93D52" w:rsidRPr="00D4092D" w:rsidRDefault="00F93D52" w:rsidP="00F93D52">
      <w:pPr>
        <w:ind w:firstLine="567"/>
        <w:jc w:val="both"/>
        <w:rPr>
          <w:noProof/>
        </w:rPr>
      </w:pPr>
      <w:r w:rsidRPr="00D4092D">
        <w:rPr>
          <w:noProof/>
        </w:rPr>
        <w:t>Средства по общинските бюджети от приватизация на дялове, акции и участия за периода са отчетени в размер на 0,6 млн. лв.</w:t>
      </w:r>
    </w:p>
    <w:p w14:paraId="11042513" w14:textId="77777777" w:rsidR="00F93D52" w:rsidRPr="00D4092D" w:rsidRDefault="00F93D52" w:rsidP="00F93D52">
      <w:pPr>
        <w:ind w:firstLine="567"/>
        <w:jc w:val="both"/>
        <w:rPr>
          <w:noProof/>
        </w:rPr>
      </w:pPr>
      <w:r w:rsidRPr="00D4092D">
        <w:rPr>
          <w:noProof/>
        </w:rPr>
        <w:t xml:space="preserve">Предоставените средства по възмездна финансова помощ за първото тримесечие на 2025 г. са (-4,5) млн. лв., а възстановените са 0,5 млн. лв. </w:t>
      </w:r>
    </w:p>
    <w:p w14:paraId="670EFA61" w14:textId="77777777" w:rsidR="00F93D52" w:rsidRPr="00D4092D" w:rsidRDefault="00F93D52" w:rsidP="00F93D52">
      <w:pPr>
        <w:ind w:firstLine="567"/>
        <w:jc w:val="both"/>
        <w:rPr>
          <w:noProof/>
        </w:rPr>
      </w:pPr>
      <w:r w:rsidRPr="00D4092D">
        <w:rPr>
          <w:noProof/>
        </w:rPr>
        <w:t>Общините отчитат 1 922,8 млн. лв. бюджетен преходен остатък, а наличността към края на първото тримесечие на 2025 г. (по банкови сметки и каса) нараства и е в размер на 2 933,7 млн. лв. Част от наличността по общинските бюджети към 31.03.2025</w:t>
      </w:r>
      <w:r>
        <w:rPr>
          <w:noProof/>
        </w:rPr>
        <w:t> </w:t>
      </w:r>
      <w:r w:rsidRPr="00D4092D">
        <w:rPr>
          <w:noProof/>
        </w:rPr>
        <w:t xml:space="preserve">г. е под формата на срочни депозити, които са отчетени в размер на 77,3 млн. лв., а 172,4 млн. лв. е левовата равностойност на остатъци по валутни сметки. Отчетената касова наличност (левова и валутна) 1,5 млн. лв. </w:t>
      </w:r>
      <w:r w:rsidRPr="00D4092D">
        <w:rPr>
          <w:noProof/>
        </w:rPr>
        <w:tab/>
      </w:r>
    </w:p>
    <w:p w14:paraId="44A84915" w14:textId="77777777" w:rsidR="00F93D52" w:rsidRPr="00D4092D" w:rsidRDefault="00F93D52" w:rsidP="00F93D52">
      <w:pPr>
        <w:ind w:firstLine="567"/>
        <w:jc w:val="both"/>
        <w:rPr>
          <w:noProof/>
        </w:rPr>
      </w:pPr>
      <w:r w:rsidRPr="00D4092D">
        <w:rPr>
          <w:noProof/>
        </w:rPr>
        <w:t>Остатъкът по левови текущи сметки в БНБ е 480,7 млн. лв.</w:t>
      </w:r>
    </w:p>
    <w:p w14:paraId="07088F69" w14:textId="77777777" w:rsidR="00F93D52" w:rsidRPr="00D4092D" w:rsidRDefault="00F93D52" w:rsidP="00F93D52">
      <w:pPr>
        <w:ind w:firstLine="567"/>
        <w:jc w:val="both"/>
        <w:rPr>
          <w:noProof/>
        </w:rPr>
      </w:pPr>
      <w:r w:rsidRPr="00D4092D">
        <w:rPr>
          <w:noProof/>
        </w:rPr>
        <w:t>Отчетената наличност в делегираните от държавата дейности е 1 390,3 млн. лв. (47,4</w:t>
      </w:r>
      <w:r>
        <w:rPr>
          <w:noProof/>
        </w:rPr>
        <w:t xml:space="preserve"> </w:t>
      </w:r>
      <w:r w:rsidRPr="00D4092D">
        <w:rPr>
          <w:noProof/>
        </w:rPr>
        <w:t>% от общата наличност), а в местните дейности е 1 543,4 млн. лв. (52,6</w:t>
      </w:r>
      <w:r>
        <w:rPr>
          <w:noProof/>
        </w:rPr>
        <w:t xml:space="preserve"> </w:t>
      </w:r>
      <w:r w:rsidRPr="00D4092D">
        <w:rPr>
          <w:noProof/>
        </w:rPr>
        <w:t xml:space="preserve">%). </w:t>
      </w:r>
    </w:p>
    <w:p w14:paraId="6E726E62" w14:textId="77777777" w:rsidR="00F93D52" w:rsidRPr="00D4092D" w:rsidRDefault="00F93D52" w:rsidP="00F93D52">
      <w:pPr>
        <w:ind w:firstLine="567"/>
        <w:jc w:val="both"/>
        <w:rPr>
          <w:noProof/>
        </w:rPr>
      </w:pPr>
      <w:r w:rsidRPr="00D4092D">
        <w:rPr>
          <w:noProof/>
        </w:rPr>
        <w:t>В държавните дейности наличността е формирана най-вече от получени от общините през текущата година средства от субсидии (875,3 млн. лв.). Следващата по размер наличност (409,1</w:t>
      </w:r>
      <w:r w:rsidR="00F07B52">
        <w:rPr>
          <w:noProof/>
          <w:lang w:val="en-US"/>
        </w:rPr>
        <w:t> </w:t>
      </w:r>
      <w:r w:rsidRPr="00D4092D">
        <w:rPr>
          <w:noProof/>
        </w:rPr>
        <w:t>млн. лв.) в тези дейности е с източник</w:t>
      </w:r>
      <w:r>
        <w:rPr>
          <w:noProof/>
        </w:rPr>
        <w:t xml:space="preserve"> на</w:t>
      </w:r>
      <w:r w:rsidRPr="00D4092D">
        <w:rPr>
          <w:noProof/>
        </w:rPr>
        <w:t xml:space="preserve"> средства, получени от общините също под формата на субсидии, но през преходни години. На трето място е остатъка (41,4 млн. лв.) от получени средства от други бюджети и сметки за средства от ЕС. Остатъци са формирани и от неизразходвани приходи (от текущата и от предходни години, общо з</w:t>
      </w:r>
      <w:r>
        <w:rPr>
          <w:noProof/>
        </w:rPr>
        <w:t>а 19,7 млн. лв.), както и от други</w:t>
      </w:r>
      <w:r w:rsidRPr="00D4092D">
        <w:rPr>
          <w:noProof/>
        </w:rPr>
        <w:t xml:space="preserve"> средства. </w:t>
      </w:r>
    </w:p>
    <w:p w14:paraId="37018B21" w14:textId="77777777" w:rsidR="00F93D52" w:rsidRPr="00465030" w:rsidRDefault="00F93D52" w:rsidP="00F93D52">
      <w:pPr>
        <w:spacing w:after="120"/>
        <w:ind w:firstLine="567"/>
        <w:jc w:val="both"/>
        <w:rPr>
          <w:sz w:val="18"/>
          <w:szCs w:val="12"/>
        </w:rPr>
      </w:pPr>
      <w:r w:rsidRPr="00D4092D">
        <w:rPr>
          <w:noProof/>
        </w:rPr>
        <w:t xml:space="preserve"> Най-голяма част (622,3 млн. лв.) от наличността в местните дейности е формирана от средства, получени от общините през текущата година под формата на приходи и дарения. Голяма наличност, в размер на 615,6 млн. лв., е формирана и от все още неизразходвани средства, получени от общините през предходни години (от субсидии – 189,7 млн. лв., от приходи – 186,2</w:t>
      </w:r>
      <w:r w:rsidR="00F07B52">
        <w:rPr>
          <w:noProof/>
          <w:lang w:val="en-US"/>
        </w:rPr>
        <w:t> </w:t>
      </w:r>
      <w:r w:rsidRPr="00D4092D">
        <w:rPr>
          <w:noProof/>
        </w:rPr>
        <w:t>млн. лв. и от др. средства – 239,6 млн. лв.). Остатъкът на получените през първото тримесечие на 2025 г. средства от субсидии е 122,5 млн. лв., а остатъкът от получени средства от други бюджети и сметки за средства от ЕС, от възстановени отчисления от РИОСВ, от неизразходвани средства от дълг и др.</w:t>
      </w:r>
      <w:r w:rsidRPr="00D4092D" w:rsidDel="005A0CC8">
        <w:rPr>
          <w:noProof/>
        </w:rPr>
        <w:t xml:space="preserve"> </w:t>
      </w:r>
      <w:r w:rsidRPr="00D4092D">
        <w:rPr>
          <w:noProof/>
        </w:rPr>
        <w:t xml:space="preserve">е общо </w:t>
      </w:r>
      <w:r w:rsidRPr="00465030">
        <w:rPr>
          <w:noProof/>
        </w:rPr>
        <w:t>183,0 млн. лева.</w:t>
      </w:r>
    </w:p>
    <w:p w14:paraId="51434F9F" w14:textId="77777777" w:rsidR="002C4D33" w:rsidRPr="00716094" w:rsidRDefault="002C4D33" w:rsidP="00FD362E">
      <w:pPr>
        <w:pStyle w:val="BodyText"/>
        <w:spacing w:after="120"/>
        <w:ind w:firstLine="567"/>
        <w:rPr>
          <w:color w:val="0070C0"/>
          <w:sz w:val="18"/>
          <w:szCs w:val="12"/>
        </w:rPr>
      </w:pPr>
    </w:p>
    <w:p w14:paraId="1E52706A" w14:textId="77777777" w:rsidR="00913197" w:rsidRPr="007D125B" w:rsidRDefault="00913197" w:rsidP="00751A2A">
      <w:pPr>
        <w:pStyle w:val="Heading1"/>
        <w:numPr>
          <w:ilvl w:val="1"/>
          <w:numId w:val="8"/>
        </w:numPr>
        <w:spacing w:before="120"/>
        <w:ind w:left="788" w:right="-108" w:hanging="431"/>
        <w:jc w:val="both"/>
        <w:rPr>
          <w:sz w:val="24"/>
        </w:rPr>
      </w:pPr>
      <w:bookmarkStart w:id="56" w:name="_Toc109906108"/>
      <w:r w:rsidRPr="007D125B">
        <w:rPr>
          <w:sz w:val="24"/>
        </w:rPr>
        <w:t>Бюджети на Българската национална телевизия, Българското национално радио и Българската телеграфна агенция</w:t>
      </w:r>
      <w:bookmarkEnd w:id="56"/>
      <w:r w:rsidRPr="007D125B">
        <w:rPr>
          <w:sz w:val="24"/>
        </w:rPr>
        <w:t xml:space="preserve"> </w:t>
      </w:r>
    </w:p>
    <w:p w14:paraId="5BAF4A54" w14:textId="77777777" w:rsidR="00582F0A" w:rsidRPr="00EE57DC" w:rsidRDefault="00D52C6F" w:rsidP="00582F0A">
      <w:pPr>
        <w:spacing w:before="240"/>
        <w:ind w:firstLine="567"/>
        <w:jc w:val="both"/>
        <w:rPr>
          <w:color w:val="0070C0"/>
        </w:rPr>
      </w:pPr>
      <w:r w:rsidRPr="00582F0A">
        <w:rPr>
          <w:b/>
        </w:rPr>
        <w:t xml:space="preserve">Приходите на Българската национална телевизия (БНТ) </w:t>
      </w:r>
      <w:r w:rsidR="00582F0A" w:rsidRPr="00582F0A">
        <w:t xml:space="preserve">към 31.03.2025 г. са в размер </w:t>
      </w:r>
      <w:r w:rsidR="00582F0A" w:rsidRPr="00465030">
        <w:t xml:space="preserve">на </w:t>
      </w:r>
      <w:r w:rsidR="00582F0A" w:rsidRPr="00465030">
        <w:rPr>
          <w:lang w:val="ru-RU"/>
        </w:rPr>
        <w:t>1</w:t>
      </w:r>
      <w:r w:rsidR="00582F0A" w:rsidRPr="00465030">
        <w:t>,6 млн. лв., което представлява 16,2 % от заложените приходи в разчетите към ЗДБРБ за 2025</w:t>
      </w:r>
      <w:r w:rsidR="00F3511E">
        <w:t> </w:t>
      </w:r>
      <w:r w:rsidR="00582F0A" w:rsidRPr="00465030">
        <w:t>г.</w:t>
      </w:r>
      <w:r w:rsidR="00582F0A" w:rsidRPr="00465030">
        <w:rPr>
          <w:lang w:eastAsia="bg-BG"/>
        </w:rPr>
        <w:t xml:space="preserve"> </w:t>
      </w:r>
      <w:r w:rsidR="00582F0A" w:rsidRPr="00465030">
        <w:rPr>
          <w:lang w:val="en-US" w:eastAsia="bg-BG"/>
        </w:rPr>
        <w:t>(</w:t>
      </w:r>
      <w:r w:rsidR="00582F0A" w:rsidRPr="00465030">
        <w:rPr>
          <w:lang w:eastAsia="bg-BG"/>
        </w:rPr>
        <w:t>10,0 млн. лв.</w:t>
      </w:r>
      <w:r w:rsidR="00582F0A" w:rsidRPr="00465030">
        <w:rPr>
          <w:lang w:val="en-US" w:eastAsia="bg-BG"/>
        </w:rPr>
        <w:t>)</w:t>
      </w:r>
      <w:r w:rsidR="00582F0A">
        <w:rPr>
          <w:lang w:eastAsia="bg-BG"/>
        </w:rPr>
        <w:t>.</w:t>
      </w:r>
      <w:r w:rsidR="00582F0A" w:rsidRPr="00465030">
        <w:t xml:space="preserve"> Отчетените приходи са постъпления от продажба на услуги, стоки и продукция (реклама, технически услуги, продажба на програми, приходи от почивно дело, приходи от участия в предизборни форми), наеми на имущество и други неданъчни приходи.</w:t>
      </w:r>
    </w:p>
    <w:p w14:paraId="6EC35EB7" w14:textId="77777777" w:rsidR="00582F0A" w:rsidRPr="00582F0A" w:rsidRDefault="00582F0A" w:rsidP="00582F0A">
      <w:pPr>
        <w:pStyle w:val="Title"/>
        <w:ind w:firstLine="708"/>
        <w:jc w:val="both"/>
        <w:rPr>
          <w:b w:val="0"/>
          <w:szCs w:val="24"/>
        </w:rPr>
      </w:pPr>
      <w:r w:rsidRPr="00582F0A">
        <w:rPr>
          <w:b w:val="0"/>
          <w:szCs w:val="24"/>
          <w:lang w:eastAsia="bg-BG"/>
        </w:rPr>
        <w:t xml:space="preserve">Отчетените </w:t>
      </w:r>
      <w:r w:rsidRPr="00582F0A">
        <w:rPr>
          <w:szCs w:val="24"/>
          <w:lang w:eastAsia="bg-BG"/>
        </w:rPr>
        <w:t>разходи</w:t>
      </w:r>
      <w:r w:rsidRPr="00582F0A">
        <w:rPr>
          <w:b w:val="0"/>
          <w:szCs w:val="24"/>
          <w:lang w:eastAsia="bg-BG"/>
        </w:rPr>
        <w:t xml:space="preserve"> по бюджета на БНТ са в размер на 20,5 млн. лв., което представлява 19,5</w:t>
      </w:r>
      <w:r w:rsidRPr="00582F0A">
        <w:rPr>
          <w:b w:val="0"/>
          <w:szCs w:val="24"/>
          <w:lang w:val="en-US" w:eastAsia="bg-BG"/>
        </w:rPr>
        <w:t xml:space="preserve"> </w:t>
      </w:r>
      <w:r w:rsidRPr="00582F0A">
        <w:rPr>
          <w:b w:val="0"/>
          <w:szCs w:val="24"/>
          <w:lang w:eastAsia="bg-BG"/>
        </w:rPr>
        <w:t>% от предвидените разходи в разчетите към ЗДБРБ за 2025 г. – 105,2 млн. лв. Отчетените за периода разходи са с 1,1 млн. лв. по-малко спрямо отчетените разходи за същия период на предходната година.</w:t>
      </w:r>
      <w:r w:rsidRPr="00582F0A">
        <w:rPr>
          <w:b w:val="0"/>
          <w:szCs w:val="24"/>
        </w:rPr>
        <w:t xml:space="preserve"> Българската национална телевизия съставя, изпълнява, приключва и отчита бюджет, съгласно чл. 70, ал. 1 от Закона за радиото и телевизията (ЗРТ). За периода са отчетени 18,3 млн. лв. текущи разходи и 2,1 млн. лв. капиталови разходи.</w:t>
      </w:r>
      <w:r w:rsidRPr="00582F0A">
        <w:rPr>
          <w:b w:val="0"/>
          <w:szCs w:val="24"/>
          <w:lang w:val="en-US"/>
        </w:rPr>
        <w:t xml:space="preserve"> </w:t>
      </w:r>
      <w:r w:rsidRPr="00582F0A">
        <w:rPr>
          <w:b w:val="0"/>
          <w:szCs w:val="24"/>
        </w:rPr>
        <w:t xml:space="preserve">Общият размер на отчетените текущи разходи включва: 11,1 млн. лв. разходи за персонал и 7,2 млн. лв. разходи за издръжка </w:t>
      </w:r>
      <w:r w:rsidRPr="00582F0A">
        <w:rPr>
          <w:b w:val="0"/>
          <w:szCs w:val="24"/>
          <w:lang w:val="en-US"/>
        </w:rPr>
        <w:t>(</w:t>
      </w:r>
      <w:r w:rsidRPr="00582F0A">
        <w:rPr>
          <w:b w:val="0"/>
          <w:szCs w:val="24"/>
        </w:rPr>
        <w:t>вкл. разходи за членски внос, платени данъци, такси и административни санкции</w:t>
      </w:r>
      <w:r w:rsidRPr="00582F0A">
        <w:rPr>
          <w:b w:val="0"/>
          <w:szCs w:val="24"/>
          <w:lang w:val="en-US"/>
        </w:rPr>
        <w:t>)</w:t>
      </w:r>
      <w:r w:rsidRPr="00582F0A">
        <w:rPr>
          <w:b w:val="0"/>
          <w:szCs w:val="24"/>
        </w:rPr>
        <w:t>. Отчетените разходи за персонал представляват 54,3</w:t>
      </w:r>
      <w:r w:rsidRPr="00582F0A">
        <w:rPr>
          <w:b w:val="0"/>
          <w:szCs w:val="24"/>
          <w:lang w:val="en-US"/>
        </w:rPr>
        <w:t xml:space="preserve"> </w:t>
      </w:r>
      <w:r w:rsidRPr="00582F0A">
        <w:rPr>
          <w:b w:val="0"/>
          <w:szCs w:val="24"/>
        </w:rPr>
        <w:t>% от отчетените за периода разходи.</w:t>
      </w:r>
    </w:p>
    <w:p w14:paraId="58158964" w14:textId="77777777" w:rsidR="00582F0A" w:rsidRPr="00801B71" w:rsidRDefault="00582F0A" w:rsidP="00582F0A">
      <w:pPr>
        <w:ind w:firstLine="561"/>
        <w:jc w:val="both"/>
      </w:pPr>
      <w:r w:rsidRPr="00801B71">
        <w:t xml:space="preserve">За отчетния период средствата са усвоени за реализирането на основните цели и дейности на БНТ по подготовката, създаването и разпространението на телевизионни програми съгласно разпоредбите на Закона за радиото и телевизията. </w:t>
      </w:r>
    </w:p>
    <w:p w14:paraId="4D44A55B" w14:textId="77777777" w:rsidR="00582F0A" w:rsidRPr="00EE57DC" w:rsidRDefault="00582F0A" w:rsidP="00582F0A">
      <w:pPr>
        <w:ind w:firstLine="567"/>
        <w:jc w:val="both"/>
        <w:rPr>
          <w:color w:val="0070C0"/>
          <w:szCs w:val="20"/>
        </w:rPr>
      </w:pPr>
      <w:r w:rsidRPr="00801B71">
        <w:rPr>
          <w:b/>
          <w:szCs w:val="20"/>
        </w:rPr>
        <w:t>Бюджетни взаимоотношения</w:t>
      </w:r>
      <w:r w:rsidRPr="00801B71">
        <w:rPr>
          <w:szCs w:val="20"/>
        </w:rPr>
        <w:t xml:space="preserve"> на БНТ с централния бюджет са 93,7 млн. лв. </w:t>
      </w:r>
      <w:r w:rsidRPr="00B87CE2">
        <w:rPr>
          <w:szCs w:val="20"/>
        </w:rPr>
        <w:t>съгласно чл. 50, т. 2 от ЗДБРБ за 2025 г. За отчетния период е усвоена сума в р</w:t>
      </w:r>
      <w:r>
        <w:rPr>
          <w:szCs w:val="20"/>
        </w:rPr>
        <w:t>азмер на 19,4 млн. лв. или 20,7 </w:t>
      </w:r>
      <w:r w:rsidRPr="00B87CE2">
        <w:rPr>
          <w:szCs w:val="20"/>
        </w:rPr>
        <w:t>% от размера на определените със закона бюджетни взаимоотношения на БНТ с централния бюджет.</w:t>
      </w:r>
      <w:r w:rsidRPr="00B87CE2">
        <w:rPr>
          <w:b/>
          <w:szCs w:val="20"/>
          <w:lang w:val="ru-RU"/>
        </w:rPr>
        <w:t xml:space="preserve"> </w:t>
      </w:r>
    </w:p>
    <w:p w14:paraId="5D8880B4" w14:textId="77777777" w:rsidR="00582F0A" w:rsidRPr="00F65F1F" w:rsidRDefault="00582F0A" w:rsidP="00F65F1F">
      <w:pPr>
        <w:pStyle w:val="Title"/>
        <w:spacing w:before="120"/>
        <w:ind w:firstLine="567"/>
        <w:jc w:val="both"/>
        <w:rPr>
          <w:b w:val="0"/>
          <w:color w:val="0070C0"/>
        </w:rPr>
      </w:pPr>
      <w:r w:rsidRPr="00F65F1F">
        <w:t>Приходите по бюджета на Българското национално радио (БНР)</w:t>
      </w:r>
      <w:r w:rsidRPr="00F65F1F">
        <w:rPr>
          <w:b w:val="0"/>
        </w:rPr>
        <w:t xml:space="preserve"> към 31.03.2025 г. са в размер на </w:t>
      </w:r>
      <w:r w:rsidRPr="00F65F1F">
        <w:rPr>
          <w:b w:val="0"/>
          <w:szCs w:val="24"/>
        </w:rPr>
        <w:t>0,</w:t>
      </w:r>
      <w:r w:rsidRPr="00F65F1F">
        <w:rPr>
          <w:b w:val="0"/>
          <w:szCs w:val="24"/>
          <w:lang w:val="en-US"/>
        </w:rPr>
        <w:t>5</w:t>
      </w:r>
      <w:r w:rsidRPr="00F65F1F">
        <w:rPr>
          <w:b w:val="0"/>
          <w:szCs w:val="24"/>
        </w:rPr>
        <w:t xml:space="preserve"> млн. лв., което представлява 2</w:t>
      </w:r>
      <w:r w:rsidRPr="00F65F1F">
        <w:rPr>
          <w:b w:val="0"/>
          <w:szCs w:val="24"/>
          <w:lang w:val="en-US"/>
        </w:rPr>
        <w:t>9</w:t>
      </w:r>
      <w:r w:rsidRPr="00F65F1F">
        <w:rPr>
          <w:b w:val="0"/>
          <w:szCs w:val="24"/>
        </w:rPr>
        <w:t>,</w:t>
      </w:r>
      <w:r w:rsidRPr="00F65F1F">
        <w:rPr>
          <w:b w:val="0"/>
          <w:szCs w:val="24"/>
          <w:lang w:val="en-US"/>
        </w:rPr>
        <w:t xml:space="preserve">2 </w:t>
      </w:r>
      <w:r w:rsidRPr="00F65F1F">
        <w:rPr>
          <w:b w:val="0"/>
          <w:szCs w:val="24"/>
        </w:rPr>
        <w:t>% изпълнение на заложените приходи в разчетите към ЗДБРБ за 202</w:t>
      </w:r>
      <w:r w:rsidRPr="00F65F1F">
        <w:rPr>
          <w:b w:val="0"/>
          <w:szCs w:val="24"/>
          <w:lang w:val="en-US"/>
        </w:rPr>
        <w:t>5</w:t>
      </w:r>
      <w:r w:rsidRPr="00F65F1F">
        <w:rPr>
          <w:b w:val="0"/>
          <w:szCs w:val="24"/>
        </w:rPr>
        <w:t xml:space="preserve"> г.</w:t>
      </w:r>
      <w:r w:rsidRPr="00F65F1F">
        <w:rPr>
          <w:b w:val="0"/>
          <w:szCs w:val="24"/>
          <w:lang w:val="en-US"/>
        </w:rPr>
        <w:t xml:space="preserve"> (</w:t>
      </w:r>
      <w:r w:rsidRPr="00F65F1F">
        <w:rPr>
          <w:b w:val="0"/>
          <w:szCs w:val="24"/>
        </w:rPr>
        <w:t>1,8 млн. лв.</w:t>
      </w:r>
      <w:r w:rsidRPr="00F65F1F">
        <w:rPr>
          <w:b w:val="0"/>
          <w:szCs w:val="24"/>
          <w:lang w:val="en-US"/>
        </w:rPr>
        <w:t>)</w:t>
      </w:r>
      <w:r w:rsidRPr="00F65F1F">
        <w:rPr>
          <w:b w:val="0"/>
          <w:szCs w:val="24"/>
        </w:rPr>
        <w:t>.</w:t>
      </w:r>
      <w:r w:rsidRPr="00F65F1F">
        <w:rPr>
          <w:b w:val="0"/>
          <w:szCs w:val="24"/>
          <w:lang w:val="en-US"/>
        </w:rPr>
        <w:t xml:space="preserve"> </w:t>
      </w:r>
      <w:r w:rsidRPr="00F65F1F">
        <w:rPr>
          <w:b w:val="0"/>
        </w:rPr>
        <w:t>Отчетените приходи са постъпления от продажба на услуги, стоки и продукция (реклама, спонсорство, технически услуги, съвместни продукции, приходи от концертна дейност), наеми на имущество и други неданъчни приходи.</w:t>
      </w:r>
    </w:p>
    <w:p w14:paraId="58BE61C4" w14:textId="77777777" w:rsidR="00582F0A" w:rsidRPr="00F65F1F" w:rsidRDefault="00582F0A" w:rsidP="00582F0A">
      <w:pPr>
        <w:pStyle w:val="Title"/>
        <w:ind w:firstLine="708"/>
        <w:jc w:val="both"/>
        <w:rPr>
          <w:b w:val="0"/>
        </w:rPr>
      </w:pPr>
      <w:r w:rsidRPr="00F65F1F">
        <w:rPr>
          <w:b w:val="0"/>
        </w:rPr>
        <w:t xml:space="preserve">Изпълнението на </w:t>
      </w:r>
      <w:r w:rsidRPr="00600794">
        <w:t>разходите</w:t>
      </w:r>
      <w:r w:rsidRPr="00F65F1F">
        <w:rPr>
          <w:b w:val="0"/>
        </w:rPr>
        <w:t xml:space="preserve"> по бюджета на БНР възлиза на 15,9 млн. лв., като надвишава отчетените за същия период на предходната година разходи с 0,2 млн. лв. Спрямо разчетите към ЗДБРБ за 2025 г. изпълнението е 22,9 %. </w:t>
      </w:r>
      <w:r w:rsidRPr="00F65F1F">
        <w:rPr>
          <w:b w:val="0"/>
          <w:szCs w:val="24"/>
        </w:rPr>
        <w:t>Българското национално радио съставя, изпълнява, приключва и отчита бюджет, съгласно чл. 70, ал. 1 от Закона за радиото и телевизията (ЗРТ). За периода са отчетени 14,4 млн. лв. текущи разходи и 1,5 млн. лв. капиталови разходи.</w:t>
      </w:r>
      <w:r w:rsidRPr="00F65F1F">
        <w:rPr>
          <w:b w:val="0"/>
          <w:szCs w:val="24"/>
          <w:lang w:val="en-US"/>
        </w:rPr>
        <w:t xml:space="preserve"> </w:t>
      </w:r>
      <w:r w:rsidRPr="00F65F1F">
        <w:rPr>
          <w:b w:val="0"/>
          <w:szCs w:val="24"/>
        </w:rPr>
        <w:t xml:space="preserve">Общият размер на отчетените текущи разходи включва: 9,8 млн. лв. разходи за персонал и 4,6 млн. лв. разходи за издръжка </w:t>
      </w:r>
      <w:r w:rsidRPr="00F65F1F">
        <w:rPr>
          <w:b w:val="0"/>
          <w:szCs w:val="24"/>
          <w:lang w:val="en-US"/>
        </w:rPr>
        <w:t>(</w:t>
      </w:r>
      <w:r w:rsidRPr="00F65F1F">
        <w:rPr>
          <w:b w:val="0"/>
          <w:szCs w:val="24"/>
        </w:rPr>
        <w:t>вкл. разходи за членски внос, платени данъци, такси и административни санкции</w:t>
      </w:r>
      <w:r w:rsidRPr="00F65F1F">
        <w:rPr>
          <w:b w:val="0"/>
          <w:szCs w:val="24"/>
          <w:lang w:val="en-US"/>
        </w:rPr>
        <w:t>)</w:t>
      </w:r>
      <w:r w:rsidRPr="00F65F1F">
        <w:rPr>
          <w:b w:val="0"/>
          <w:szCs w:val="24"/>
        </w:rPr>
        <w:t>. Отчетените разходи за персонал представляват 61,6</w:t>
      </w:r>
      <w:r w:rsidRPr="00F65F1F">
        <w:rPr>
          <w:b w:val="0"/>
          <w:szCs w:val="24"/>
          <w:lang w:val="en-US"/>
        </w:rPr>
        <w:t xml:space="preserve"> </w:t>
      </w:r>
      <w:r w:rsidRPr="00F65F1F">
        <w:rPr>
          <w:b w:val="0"/>
          <w:szCs w:val="24"/>
        </w:rPr>
        <w:t>% от отчетените за периода разходи.</w:t>
      </w:r>
      <w:r w:rsidRPr="00F65F1F">
        <w:rPr>
          <w:b w:val="0"/>
          <w:szCs w:val="24"/>
          <w:lang w:val="en-US"/>
        </w:rPr>
        <w:t xml:space="preserve"> </w:t>
      </w:r>
      <w:r w:rsidRPr="00F65F1F">
        <w:rPr>
          <w:b w:val="0"/>
          <w:szCs w:val="24"/>
        </w:rPr>
        <w:t xml:space="preserve">Средствата са усвоени за реализирането на основните цели и дейности на БНР по подготовката, създаването и разпространението на национални и регионални програми съгласно разпоредбите на Закона за радиото и телевизията. В разпределението  на разходите по бюджета на БНР е включен преходния остатък за 2024 г. (съгл. чл. 70, ал. 6 от ЗРТ) в размер на 1,7 млн. лв. </w:t>
      </w:r>
    </w:p>
    <w:p w14:paraId="1AB97705" w14:textId="77777777" w:rsidR="00582F0A" w:rsidRPr="00F65F1F" w:rsidRDefault="00582F0A" w:rsidP="00582F0A">
      <w:pPr>
        <w:pStyle w:val="Title"/>
        <w:ind w:firstLine="708"/>
        <w:jc w:val="both"/>
        <w:rPr>
          <w:b w:val="0"/>
          <w:color w:val="0070C0"/>
        </w:rPr>
      </w:pPr>
      <w:r w:rsidRPr="00600794">
        <w:rPr>
          <w:szCs w:val="24"/>
        </w:rPr>
        <w:t>Бюджетни взаимоотношения</w:t>
      </w:r>
      <w:r w:rsidRPr="00F65F1F">
        <w:rPr>
          <w:b w:val="0"/>
          <w:szCs w:val="24"/>
        </w:rPr>
        <w:t xml:space="preserve"> на БНР с централния бюджет са 66,1 млн. лв. съгласно чл. 50, т. 1 от ЗДБРБ за 2025 г. За отчетния период е усвоена сума в размер на 14,8 млн. лв. или 22,3</w:t>
      </w:r>
      <w:r w:rsidRPr="00F65F1F">
        <w:rPr>
          <w:b w:val="0"/>
          <w:szCs w:val="24"/>
          <w:lang w:val="en-US"/>
        </w:rPr>
        <w:t> </w:t>
      </w:r>
      <w:r w:rsidRPr="00F65F1F">
        <w:rPr>
          <w:b w:val="0"/>
          <w:szCs w:val="24"/>
        </w:rPr>
        <w:t>% от размера на определените със закона бюджетни взаимоотношения на БНР с централния бюджет.</w:t>
      </w:r>
      <w:r w:rsidRPr="00F65F1F">
        <w:rPr>
          <w:b w:val="0"/>
          <w:szCs w:val="24"/>
          <w:lang w:val="en-US"/>
        </w:rPr>
        <w:t xml:space="preserve"> </w:t>
      </w:r>
      <w:r w:rsidRPr="00F65F1F">
        <w:rPr>
          <w:b w:val="0"/>
          <w:color w:val="0070C0"/>
          <w:szCs w:val="24"/>
        </w:rPr>
        <w:t xml:space="preserve"> </w:t>
      </w:r>
    </w:p>
    <w:p w14:paraId="5817B3FC" w14:textId="77777777" w:rsidR="00582F0A" w:rsidRPr="00174F65" w:rsidRDefault="00582F0A" w:rsidP="00582F0A">
      <w:pPr>
        <w:spacing w:before="120"/>
        <w:ind w:firstLine="567"/>
        <w:jc w:val="both"/>
        <w:rPr>
          <w:b/>
          <w:szCs w:val="20"/>
        </w:rPr>
      </w:pPr>
      <w:r w:rsidRPr="00174F65">
        <w:rPr>
          <w:b/>
          <w:szCs w:val="20"/>
        </w:rPr>
        <w:t xml:space="preserve">Приходите на </w:t>
      </w:r>
      <w:r w:rsidRPr="00174F65">
        <w:rPr>
          <w:b/>
        </w:rPr>
        <w:t>Българската телеграфна агенция (БТА)</w:t>
      </w:r>
      <w:r w:rsidRPr="00174F65">
        <w:t xml:space="preserve"> </w:t>
      </w:r>
      <w:r w:rsidRPr="00174F65">
        <w:rPr>
          <w:szCs w:val="20"/>
        </w:rPr>
        <w:t>към 31.03.2025 г. са в размер на 0,1 млн. лв</w:t>
      </w:r>
      <w:r w:rsidRPr="00174F65">
        <w:t xml:space="preserve">., което представлява 19,7 % от заложените приходи в разчетите към ЗДБРБ за 2025 г. (0,6 млн. лв.). Средствата са основно от продажба на услуги, стоки и продукция (реклама, технически услуги, продажба на продукция), наеми на имущество и др. </w:t>
      </w:r>
    </w:p>
    <w:p w14:paraId="2060BB17" w14:textId="77777777" w:rsidR="00582F0A" w:rsidRPr="00174F65" w:rsidRDefault="00582F0A" w:rsidP="00582F0A">
      <w:pPr>
        <w:ind w:firstLine="709"/>
        <w:jc w:val="both"/>
        <w:rPr>
          <w:szCs w:val="20"/>
        </w:rPr>
      </w:pPr>
      <w:r w:rsidRPr="00174F65">
        <w:rPr>
          <w:szCs w:val="20"/>
        </w:rPr>
        <w:t xml:space="preserve">Отчетените </w:t>
      </w:r>
      <w:r w:rsidRPr="000C563F">
        <w:rPr>
          <w:b/>
          <w:szCs w:val="20"/>
        </w:rPr>
        <w:t>разходи</w:t>
      </w:r>
      <w:r w:rsidRPr="00174F65">
        <w:rPr>
          <w:szCs w:val="20"/>
        </w:rPr>
        <w:t xml:space="preserve"> по бюджета на БТА са в размер на 3,0 млн. лв., което представлява 18,5 % от предвидените разходи в разчетите към ЗДБРБ за 2025 г. </w:t>
      </w:r>
    </w:p>
    <w:p w14:paraId="39F63474" w14:textId="77777777" w:rsidR="00582F0A" w:rsidRPr="00D63B7F" w:rsidRDefault="00582F0A" w:rsidP="00582F0A">
      <w:pPr>
        <w:pStyle w:val="Title"/>
        <w:ind w:firstLine="708"/>
        <w:jc w:val="both"/>
        <w:rPr>
          <w:b w:val="0"/>
          <w:szCs w:val="24"/>
        </w:rPr>
      </w:pPr>
      <w:r w:rsidRPr="00D63B7F">
        <w:rPr>
          <w:b w:val="0"/>
          <w:szCs w:val="24"/>
        </w:rPr>
        <w:t>Българската телеграфна агенция съставя, изпълнява, приключва и отчита бюджет, съгласно чл. 19, ал. 1 от Закона за Българска телеграфна агенция (ЗБТА). За периода са отчетени 3,0 млн. лв. текущи разходи и няма капиталови разходи.</w:t>
      </w:r>
      <w:r w:rsidRPr="00D63B7F">
        <w:rPr>
          <w:b w:val="0"/>
          <w:szCs w:val="24"/>
          <w:lang w:val="ru-RU"/>
        </w:rPr>
        <w:t xml:space="preserve"> </w:t>
      </w:r>
      <w:r w:rsidRPr="00D63B7F">
        <w:rPr>
          <w:b w:val="0"/>
          <w:szCs w:val="24"/>
        </w:rPr>
        <w:t xml:space="preserve">Общият размер на отчетените текущи разходи включва: 2,2  млн. лв. разходи за персонал и 0,8 млн. лв. разходи за издръжка </w:t>
      </w:r>
      <w:r w:rsidRPr="00D63B7F">
        <w:rPr>
          <w:b w:val="0"/>
          <w:szCs w:val="24"/>
          <w:lang w:val="ru-RU"/>
        </w:rPr>
        <w:t>(</w:t>
      </w:r>
      <w:r w:rsidRPr="00D63B7F">
        <w:rPr>
          <w:b w:val="0"/>
          <w:szCs w:val="24"/>
        </w:rPr>
        <w:t>вкл. разходи за членски внос, платени данъци, такси и административни санкции</w:t>
      </w:r>
      <w:r w:rsidRPr="00D63B7F">
        <w:rPr>
          <w:b w:val="0"/>
          <w:szCs w:val="24"/>
          <w:lang w:val="ru-RU"/>
        </w:rPr>
        <w:t>)</w:t>
      </w:r>
      <w:r w:rsidRPr="00D63B7F">
        <w:rPr>
          <w:b w:val="0"/>
          <w:szCs w:val="24"/>
        </w:rPr>
        <w:t>. Отчетените разходи за персонал представляват 73,4 % от отчетените разходи.</w:t>
      </w:r>
    </w:p>
    <w:p w14:paraId="35470A7A" w14:textId="77777777" w:rsidR="00582F0A" w:rsidRPr="007A4F25" w:rsidRDefault="00582F0A" w:rsidP="00582F0A">
      <w:pPr>
        <w:ind w:firstLine="567"/>
        <w:jc w:val="both"/>
        <w:rPr>
          <w:szCs w:val="20"/>
        </w:rPr>
      </w:pPr>
      <w:r w:rsidRPr="007A4F25">
        <w:t xml:space="preserve"> В разпределението на разходите по бюджета на агенцията е включен</w:t>
      </w:r>
      <w:r>
        <w:t xml:space="preserve"> и преходния остатък за 2024</w:t>
      </w:r>
      <w:r w:rsidRPr="007A4F25">
        <w:t xml:space="preserve"> г. (съгл. чл. 20, ал. 3 от ЗБТА) в размер на 0,4</w:t>
      </w:r>
      <w:r>
        <w:rPr>
          <w:lang w:val="en-US"/>
        </w:rPr>
        <w:t>5</w:t>
      </w:r>
      <w:r w:rsidRPr="007A4F25">
        <w:t xml:space="preserve"> млн. лв. </w:t>
      </w:r>
    </w:p>
    <w:p w14:paraId="0169B6FA" w14:textId="77777777" w:rsidR="00D52C6F" w:rsidRPr="00716094" w:rsidRDefault="00582F0A" w:rsidP="00D63B7F">
      <w:pPr>
        <w:spacing w:before="120"/>
        <w:ind w:firstLine="567"/>
        <w:jc w:val="both"/>
        <w:rPr>
          <w:color w:val="0070C0"/>
          <w:szCs w:val="20"/>
        </w:rPr>
      </w:pPr>
      <w:r w:rsidRPr="000C563F">
        <w:rPr>
          <w:b/>
          <w:szCs w:val="20"/>
        </w:rPr>
        <w:t>Бюджетни взаимоотношения</w:t>
      </w:r>
      <w:r w:rsidRPr="007A4F25">
        <w:rPr>
          <w:szCs w:val="20"/>
        </w:rPr>
        <w:t xml:space="preserve"> на БТА с централния бюджет са 15,7 млн. лв. съгласно чл. 50, т. 3 от ЗДБРБ за 2025 г. За отчетния пери</w:t>
      </w:r>
      <w:r>
        <w:rPr>
          <w:szCs w:val="20"/>
        </w:rPr>
        <w:t>од е усвоена сума в размер на 3,0</w:t>
      </w:r>
      <w:r w:rsidRPr="007A4F25">
        <w:rPr>
          <w:szCs w:val="20"/>
        </w:rPr>
        <w:t xml:space="preserve"> млн. лв. или 19,0 % от размера на определените със закона бюджетни взаимоотношения на БТА с централния бюджет</w:t>
      </w:r>
      <w:r w:rsidR="00D52C6F" w:rsidRPr="00716094">
        <w:rPr>
          <w:color w:val="0070C0"/>
          <w:szCs w:val="20"/>
        </w:rPr>
        <w:t>.</w:t>
      </w:r>
    </w:p>
    <w:p w14:paraId="4F9D4154" w14:textId="77777777" w:rsidR="007C1025" w:rsidRPr="00716094" w:rsidRDefault="007C1025" w:rsidP="007C1025">
      <w:pPr>
        <w:ind w:firstLine="567"/>
        <w:jc w:val="both"/>
        <w:rPr>
          <w:color w:val="0070C0"/>
          <w:szCs w:val="20"/>
        </w:rPr>
      </w:pPr>
    </w:p>
    <w:p w14:paraId="5EE0094F" w14:textId="77777777" w:rsidR="00446778" w:rsidRPr="00716094" w:rsidRDefault="00446778" w:rsidP="007C1025">
      <w:pPr>
        <w:pStyle w:val="Title"/>
        <w:jc w:val="both"/>
        <w:rPr>
          <w:color w:val="0070C0"/>
        </w:rPr>
      </w:pPr>
    </w:p>
    <w:p w14:paraId="53D2002D" w14:textId="77777777" w:rsidR="00001ABF" w:rsidRPr="00716094" w:rsidRDefault="00001ABF" w:rsidP="007C1025">
      <w:pPr>
        <w:pStyle w:val="Title"/>
        <w:jc w:val="both"/>
        <w:rPr>
          <w:color w:val="0070C0"/>
        </w:rPr>
      </w:pPr>
    </w:p>
    <w:p w14:paraId="3A5DAE71" w14:textId="77777777" w:rsidR="007C1025" w:rsidRPr="00716094" w:rsidRDefault="007C1025" w:rsidP="007C1025">
      <w:pPr>
        <w:pStyle w:val="Title"/>
        <w:jc w:val="both"/>
      </w:pPr>
      <w:r w:rsidRPr="00716094">
        <w:t xml:space="preserve">Министерство на финансите, </w:t>
      </w:r>
      <w:r w:rsidR="00E4591D" w:rsidRPr="00716094">
        <w:t>май</w:t>
      </w:r>
      <w:r w:rsidR="00F548B6" w:rsidRPr="00716094">
        <w:t xml:space="preserve"> </w:t>
      </w:r>
      <w:r w:rsidRPr="00716094">
        <w:t>202</w:t>
      </w:r>
      <w:r w:rsidR="00716094" w:rsidRPr="008D7032">
        <w:rPr>
          <w:lang w:val="ru-RU"/>
        </w:rPr>
        <w:t xml:space="preserve">5 </w:t>
      </w:r>
      <w:r w:rsidRPr="00716094">
        <w:t>г.</w:t>
      </w:r>
    </w:p>
    <w:p w14:paraId="36F9F4B3" w14:textId="77777777" w:rsidR="0050598A" w:rsidRPr="00716094" w:rsidRDefault="00014355" w:rsidP="0050598A">
      <w:pPr>
        <w:pStyle w:val="Title"/>
        <w:jc w:val="both"/>
        <w:rPr>
          <w:color w:val="0070C0"/>
        </w:rPr>
      </w:pPr>
      <w:r w:rsidRPr="00A35037">
        <w:tab/>
      </w:r>
      <w:r w:rsidRPr="00A35037">
        <w:tab/>
      </w:r>
      <w:r w:rsidRPr="00A35037">
        <w:tab/>
      </w:r>
    </w:p>
    <w:sectPr w:rsidR="0050598A" w:rsidRPr="00716094" w:rsidSect="00033525">
      <w:footerReference w:type="even" r:id="rId11"/>
      <w:footerReference w:type="default" r:id="rId12"/>
      <w:endnotePr>
        <w:numFmt w:val="decimal"/>
      </w:endnotePr>
      <w:type w:val="continuous"/>
      <w:pgSz w:w="11906" w:h="16838"/>
      <w:pgMar w:top="709" w:right="849" w:bottom="426"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CE1E7" w14:textId="77777777" w:rsidR="00201AB8" w:rsidRDefault="00201AB8">
      <w:r>
        <w:separator/>
      </w:r>
    </w:p>
  </w:endnote>
  <w:endnote w:type="continuationSeparator" w:id="0">
    <w:p w14:paraId="1647CA2A" w14:textId="77777777" w:rsidR="00201AB8" w:rsidRDefault="00201AB8">
      <w:r>
        <w:continuationSeparator/>
      </w:r>
    </w:p>
  </w:endnote>
  <w:endnote w:type="continuationNotice" w:id="1">
    <w:p w14:paraId="78A74DEE" w14:textId="77777777" w:rsidR="00201AB8" w:rsidRDefault="00201A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Futura Bk">
    <w:altName w:val="Century Gothic"/>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BD87D" w14:textId="77777777" w:rsidR="00201AB8" w:rsidRDefault="00201AB8" w:rsidP="00EA0F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8D1DD0" w14:textId="77777777" w:rsidR="00201AB8" w:rsidRDefault="00201AB8" w:rsidP="00A7411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59DF7" w14:textId="135F690A" w:rsidR="00201AB8" w:rsidRDefault="00201AB8" w:rsidP="00EA0F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F6191">
      <w:rPr>
        <w:rStyle w:val="PageNumber"/>
        <w:noProof/>
      </w:rPr>
      <w:t>3</w:t>
    </w:r>
    <w:r>
      <w:rPr>
        <w:rStyle w:val="PageNumber"/>
      </w:rPr>
      <w:fldChar w:fldCharType="end"/>
    </w:r>
  </w:p>
  <w:p w14:paraId="1AE9BAAA" w14:textId="77777777" w:rsidR="00201AB8" w:rsidRDefault="00201AB8" w:rsidP="00A74112">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45901" w14:textId="77777777" w:rsidR="00201AB8" w:rsidRDefault="00201AB8">
      <w:r>
        <w:separator/>
      </w:r>
    </w:p>
  </w:footnote>
  <w:footnote w:type="continuationSeparator" w:id="0">
    <w:p w14:paraId="70A22EA6" w14:textId="77777777" w:rsidR="00201AB8" w:rsidRDefault="00201AB8">
      <w:r>
        <w:continuationSeparator/>
      </w:r>
    </w:p>
  </w:footnote>
  <w:footnote w:type="continuationNotice" w:id="1">
    <w:p w14:paraId="10A8F66E" w14:textId="77777777" w:rsidR="00201AB8" w:rsidRDefault="00201AB8"/>
  </w:footnote>
  <w:footnote w:id="2">
    <w:p w14:paraId="6E8735A1" w14:textId="77777777" w:rsidR="00201AB8" w:rsidRPr="00F35AD2" w:rsidRDefault="00201AB8" w:rsidP="00F71A7A">
      <w:pPr>
        <w:pStyle w:val="FootnoteText"/>
        <w:jc w:val="both"/>
        <w:rPr>
          <w:sz w:val="18"/>
          <w:szCs w:val="18"/>
          <w:lang w:eastAsia="en-GB"/>
        </w:rPr>
      </w:pPr>
      <w:r w:rsidRPr="00173EB6">
        <w:rPr>
          <w:rStyle w:val="FootnoteReference"/>
        </w:rPr>
        <w:footnoteRef/>
      </w:r>
      <w:r w:rsidRPr="00173EB6">
        <w:t xml:space="preserve"> </w:t>
      </w:r>
      <w:r w:rsidRPr="00173EB6">
        <w:rPr>
          <w:rFonts w:eastAsia="Calibri"/>
          <w:sz w:val="18"/>
          <w:szCs w:val="18"/>
          <w:lang w:val="ru-RU"/>
        </w:rPr>
        <w:t>През м</w:t>
      </w:r>
      <w:proofErr w:type="spellStart"/>
      <w:r w:rsidRPr="00173EB6">
        <w:rPr>
          <w:rFonts w:eastAsia="Calibri"/>
          <w:sz w:val="18"/>
          <w:szCs w:val="18"/>
        </w:rPr>
        <w:t>есец</w:t>
      </w:r>
      <w:proofErr w:type="spellEnd"/>
      <w:r w:rsidRPr="00173EB6">
        <w:rPr>
          <w:rFonts w:eastAsia="Calibri"/>
          <w:sz w:val="18"/>
          <w:szCs w:val="18"/>
          <w:lang w:val="ru-RU"/>
        </w:rPr>
        <w:t xml:space="preserve"> </w:t>
      </w:r>
      <w:r w:rsidRPr="003B3E0B">
        <w:rPr>
          <w:rFonts w:eastAsia="Calibri"/>
          <w:sz w:val="18"/>
          <w:szCs w:val="18"/>
          <w:lang w:val="ru-RU"/>
        </w:rPr>
        <w:t>февруари</w:t>
      </w:r>
      <w:r w:rsidRPr="00173EB6">
        <w:rPr>
          <w:rFonts w:eastAsia="Calibri"/>
          <w:sz w:val="18"/>
          <w:szCs w:val="18"/>
          <w:lang w:val="ru-RU"/>
        </w:rPr>
        <w:t xml:space="preserve"> 2024 г. в изпълнение на чл. 71, ал.1 от Постановление № 13 на Министерския съвет от 2024</w:t>
      </w:r>
      <w:r w:rsidRPr="00173EB6">
        <w:rPr>
          <w:rFonts w:eastAsia="Calibri"/>
          <w:sz w:val="18"/>
          <w:szCs w:val="18"/>
        </w:rPr>
        <w:t> </w:t>
      </w:r>
      <w:r w:rsidRPr="00173EB6">
        <w:rPr>
          <w:rFonts w:eastAsia="Calibri"/>
          <w:sz w:val="18"/>
          <w:szCs w:val="18"/>
          <w:lang w:val="ru-RU"/>
        </w:rPr>
        <w:t xml:space="preserve">г. от сметката за чужди средства по бюджета на Министерството на регионалното развитие и благоустройството бяха възстановени средства в общ размер на 1 200,0 млн. лв., които съгласно бюджетната методология се отчитат като възстановени </w:t>
      </w:r>
      <w:r w:rsidRPr="00173EB6">
        <w:rPr>
          <w:rFonts w:eastAsia="Calibri"/>
          <w:sz w:val="18"/>
          <w:szCs w:val="18"/>
        </w:rPr>
        <w:t xml:space="preserve">(отрицателни) </w:t>
      </w:r>
      <w:r w:rsidRPr="00173EB6">
        <w:rPr>
          <w:rFonts w:eastAsia="Calibri"/>
          <w:sz w:val="18"/>
          <w:szCs w:val="18"/>
          <w:lang w:val="ru-RU"/>
        </w:rPr>
        <w:t>разходи.</w:t>
      </w:r>
    </w:p>
  </w:footnote>
  <w:footnote w:id="3">
    <w:p w14:paraId="54214BA9" w14:textId="77777777" w:rsidR="00201AB8" w:rsidRPr="007D18FE" w:rsidRDefault="00201AB8" w:rsidP="008969AB">
      <w:pPr>
        <w:pStyle w:val="FootnoteText"/>
        <w:jc w:val="both"/>
        <w:rPr>
          <w:sz w:val="18"/>
          <w:szCs w:val="18"/>
          <w:lang w:val="bg-BG"/>
        </w:rPr>
      </w:pPr>
      <w:r w:rsidRPr="007D18FE">
        <w:rPr>
          <w:rStyle w:val="FootnoteReference"/>
          <w:sz w:val="18"/>
          <w:szCs w:val="18"/>
        </w:rPr>
        <w:footnoteRef/>
      </w:r>
      <w:r w:rsidRPr="001953AC">
        <w:rPr>
          <w:sz w:val="18"/>
          <w:szCs w:val="18"/>
          <w:lang w:val="ru-RU"/>
        </w:rPr>
        <w:t xml:space="preserve"> </w:t>
      </w:r>
      <w:r w:rsidRPr="007D18FE">
        <w:rPr>
          <w:sz w:val="18"/>
          <w:szCs w:val="18"/>
          <w:lang w:val="bg-BG"/>
        </w:rPr>
        <w:t>Обхваща държавния бюджет и бюджетите на общините, социалноосигурителните фондове, ДВУ, БАН, БНР, БНТ, БТА, бюджетите по чл.1</w:t>
      </w:r>
      <w:r>
        <w:rPr>
          <w:sz w:val="18"/>
          <w:szCs w:val="18"/>
          <w:lang w:val="bg-BG"/>
        </w:rPr>
        <w:t>3</w:t>
      </w:r>
      <w:r w:rsidRPr="007D18FE">
        <w:rPr>
          <w:sz w:val="18"/>
          <w:szCs w:val="18"/>
          <w:lang w:val="bg-BG"/>
        </w:rPr>
        <w:t>, ал.4 от ЗПФ, както и сметките за средствата от ЕС и сметките за чужди средства на бюджетните организации. Данните за текущата година са на база месечни отчети, а тези за предходната година - на база тримесечни отчети на ПРБ.</w:t>
      </w:r>
    </w:p>
  </w:footnote>
  <w:footnote w:id="4">
    <w:p w14:paraId="1C607B12" w14:textId="77777777" w:rsidR="00201AB8" w:rsidRPr="007D18FE" w:rsidRDefault="00201AB8" w:rsidP="008969AB">
      <w:pPr>
        <w:pStyle w:val="FootnoteText"/>
        <w:jc w:val="both"/>
        <w:rPr>
          <w:sz w:val="18"/>
          <w:szCs w:val="18"/>
          <w:lang w:val="bg-BG"/>
        </w:rPr>
      </w:pPr>
      <w:r w:rsidRPr="007D18FE">
        <w:rPr>
          <w:rStyle w:val="FootnoteReference"/>
          <w:sz w:val="18"/>
          <w:szCs w:val="18"/>
        </w:rPr>
        <w:footnoteRef/>
      </w:r>
      <w:r w:rsidRPr="007D18FE">
        <w:rPr>
          <w:sz w:val="18"/>
          <w:szCs w:val="18"/>
          <w:lang w:val="bg-BG"/>
        </w:rPr>
        <w:t xml:space="preserve"> Поради извършено закръгление в млн. лв., някои сумарни позиции в Таблица №1, Таблица  №2 и в текста не се изчерпват от съставните им числа.</w:t>
      </w:r>
    </w:p>
  </w:footnote>
  <w:footnote w:id="5">
    <w:p w14:paraId="3C5E31DD" w14:textId="77777777" w:rsidR="00201AB8" w:rsidRPr="00D13ABE" w:rsidRDefault="00201AB8" w:rsidP="008969AB">
      <w:pPr>
        <w:pStyle w:val="FootnoteText"/>
        <w:rPr>
          <w:lang w:val="bg-BG"/>
        </w:rPr>
      </w:pPr>
      <w:r w:rsidRPr="0018152A">
        <w:rPr>
          <w:rStyle w:val="FootnoteReference"/>
        </w:rPr>
        <w:footnoteRef/>
      </w:r>
      <w:r w:rsidRPr="0018152A">
        <w:rPr>
          <w:lang w:val="bg-BG"/>
        </w:rPr>
        <w:t xml:space="preserve"> </w:t>
      </w:r>
      <w:r w:rsidRPr="0018152A">
        <w:rPr>
          <w:sz w:val="18"/>
          <w:szCs w:val="18"/>
          <w:lang w:val="bg-BG"/>
        </w:rPr>
        <w:t>Разчети към ЗДБРБ за 202</w:t>
      </w:r>
      <w:r w:rsidRPr="0018152A">
        <w:rPr>
          <w:sz w:val="18"/>
          <w:szCs w:val="18"/>
          <w:lang w:val="ru-RU"/>
        </w:rPr>
        <w:t>5</w:t>
      </w:r>
      <w:r w:rsidRPr="0018152A">
        <w:rPr>
          <w:sz w:val="18"/>
          <w:szCs w:val="18"/>
          <w:lang w:val="bg-BG"/>
        </w:rPr>
        <w:t xml:space="preserve"> г. (</w:t>
      </w:r>
      <w:proofErr w:type="spellStart"/>
      <w:r w:rsidRPr="0018152A">
        <w:rPr>
          <w:sz w:val="18"/>
          <w:szCs w:val="18"/>
          <w:lang w:val="bg-BG"/>
        </w:rPr>
        <w:t>oбн</w:t>
      </w:r>
      <w:proofErr w:type="spellEnd"/>
      <w:r w:rsidRPr="0018152A">
        <w:rPr>
          <w:sz w:val="18"/>
          <w:szCs w:val="18"/>
          <w:lang w:val="bg-BG"/>
        </w:rPr>
        <w:t xml:space="preserve">., ДВ., бр. </w:t>
      </w:r>
      <w:r w:rsidRPr="0018152A">
        <w:rPr>
          <w:sz w:val="18"/>
          <w:szCs w:val="18"/>
          <w:lang w:val="ru-RU"/>
        </w:rPr>
        <w:t>2</w:t>
      </w:r>
      <w:r w:rsidRPr="0018152A">
        <w:rPr>
          <w:sz w:val="18"/>
          <w:szCs w:val="18"/>
          <w:lang w:val="bg-BG"/>
        </w:rPr>
        <w:t xml:space="preserve">6 от </w:t>
      </w:r>
      <w:r w:rsidRPr="0018152A">
        <w:rPr>
          <w:sz w:val="18"/>
          <w:szCs w:val="18"/>
          <w:lang w:val="ru-RU"/>
        </w:rPr>
        <w:t>27</w:t>
      </w:r>
      <w:r w:rsidRPr="0018152A">
        <w:rPr>
          <w:sz w:val="18"/>
          <w:szCs w:val="18"/>
          <w:lang w:val="bg-BG"/>
        </w:rPr>
        <w:t>.</w:t>
      </w:r>
      <w:r w:rsidRPr="0018152A">
        <w:rPr>
          <w:sz w:val="18"/>
          <w:szCs w:val="18"/>
          <w:lang w:val="ru-RU"/>
        </w:rPr>
        <w:t>03</w:t>
      </w:r>
      <w:r w:rsidRPr="0018152A">
        <w:rPr>
          <w:sz w:val="18"/>
          <w:szCs w:val="18"/>
          <w:lang w:val="bg-BG"/>
        </w:rPr>
        <w:t>.202</w:t>
      </w:r>
      <w:r w:rsidRPr="0018152A">
        <w:rPr>
          <w:sz w:val="18"/>
          <w:szCs w:val="18"/>
          <w:lang w:val="ru-RU"/>
        </w:rPr>
        <w:t>5</w:t>
      </w:r>
      <w:r w:rsidRPr="0018152A">
        <w:rPr>
          <w:sz w:val="18"/>
          <w:szCs w:val="18"/>
          <w:lang w:val="bg-BG"/>
        </w:rPr>
        <w:t xml:space="preserve"> г.).</w:t>
      </w:r>
    </w:p>
  </w:footnote>
  <w:footnote w:id="6">
    <w:p w14:paraId="04ABBA57" w14:textId="77777777" w:rsidR="00201AB8" w:rsidRPr="0039719B" w:rsidRDefault="00201AB8" w:rsidP="008969AB">
      <w:pPr>
        <w:pStyle w:val="FootnoteText"/>
        <w:jc w:val="both"/>
        <w:rPr>
          <w:sz w:val="18"/>
          <w:szCs w:val="18"/>
          <w:lang w:eastAsia="en-GB"/>
        </w:rPr>
      </w:pPr>
      <w:r w:rsidRPr="00173EB6">
        <w:rPr>
          <w:rStyle w:val="FootnoteReference"/>
        </w:rPr>
        <w:footnoteRef/>
      </w:r>
      <w:r w:rsidRPr="00173EB6">
        <w:t xml:space="preserve"> </w:t>
      </w:r>
      <w:r w:rsidRPr="00173EB6">
        <w:rPr>
          <w:rFonts w:eastAsia="Calibri"/>
          <w:sz w:val="18"/>
          <w:szCs w:val="18"/>
          <w:lang w:val="ru-RU"/>
        </w:rPr>
        <w:t>През м</w:t>
      </w:r>
      <w:proofErr w:type="spellStart"/>
      <w:r w:rsidRPr="00173EB6">
        <w:rPr>
          <w:rFonts w:eastAsia="Calibri"/>
          <w:sz w:val="18"/>
          <w:szCs w:val="18"/>
        </w:rPr>
        <w:t>есец</w:t>
      </w:r>
      <w:proofErr w:type="spellEnd"/>
      <w:r w:rsidRPr="00173EB6">
        <w:rPr>
          <w:rFonts w:eastAsia="Calibri"/>
          <w:sz w:val="18"/>
          <w:szCs w:val="18"/>
          <w:lang w:val="ru-RU"/>
        </w:rPr>
        <w:t xml:space="preserve"> </w:t>
      </w:r>
      <w:r w:rsidRPr="003B3E0B">
        <w:rPr>
          <w:rFonts w:eastAsia="Calibri"/>
          <w:sz w:val="18"/>
          <w:szCs w:val="18"/>
          <w:lang w:val="ru-RU"/>
        </w:rPr>
        <w:t>февруари</w:t>
      </w:r>
      <w:r w:rsidRPr="00173EB6">
        <w:rPr>
          <w:rFonts w:eastAsia="Calibri"/>
          <w:sz w:val="18"/>
          <w:szCs w:val="18"/>
          <w:lang w:val="ru-RU"/>
        </w:rPr>
        <w:t xml:space="preserve"> 2024 г. в изпълнение на чл. 71, ал.1 от Постановление № 13 на Министерския съвет от 2024</w:t>
      </w:r>
      <w:r w:rsidRPr="00173EB6">
        <w:rPr>
          <w:rFonts w:eastAsia="Calibri"/>
          <w:sz w:val="18"/>
          <w:szCs w:val="18"/>
        </w:rPr>
        <w:t> </w:t>
      </w:r>
      <w:r w:rsidRPr="00173EB6">
        <w:rPr>
          <w:rFonts w:eastAsia="Calibri"/>
          <w:sz w:val="18"/>
          <w:szCs w:val="18"/>
          <w:lang w:val="ru-RU"/>
        </w:rPr>
        <w:t xml:space="preserve">г. от сметката за чужди средства по бюджета на Министерството на регионалното развитие и благоустройството бяха възстановени средства в общ размер на 1 200,0 млн. лв., които съгласно бюджетната методология се отчитат като възстановени </w:t>
      </w:r>
      <w:r w:rsidRPr="00173EB6">
        <w:rPr>
          <w:rFonts w:eastAsia="Calibri"/>
          <w:sz w:val="18"/>
          <w:szCs w:val="18"/>
        </w:rPr>
        <w:t xml:space="preserve">(отрицателни) </w:t>
      </w:r>
      <w:r w:rsidRPr="00173EB6">
        <w:rPr>
          <w:rFonts w:eastAsia="Calibri"/>
          <w:sz w:val="18"/>
          <w:szCs w:val="18"/>
          <w:lang w:val="ru-RU"/>
        </w:rPr>
        <w:t>разходи.</w:t>
      </w:r>
      <w:r w:rsidRPr="0039719B">
        <w:rPr>
          <w:rFonts w:eastAsia="Calibri"/>
          <w:sz w:val="18"/>
          <w:szCs w:val="18"/>
          <w:lang w:val="ru-RU"/>
        </w:rPr>
        <w:t xml:space="preserve"> </w:t>
      </w:r>
    </w:p>
    <w:p w14:paraId="4B1840EB" w14:textId="77777777" w:rsidR="00201AB8" w:rsidRDefault="00201AB8" w:rsidP="008969AB">
      <w:pPr>
        <w:pStyle w:val="FootnoteText"/>
      </w:pPr>
    </w:p>
  </w:footnote>
  <w:footnote w:id="7">
    <w:p w14:paraId="7C7F62BD" w14:textId="77777777" w:rsidR="00201AB8" w:rsidRPr="00E74802" w:rsidRDefault="00201AB8" w:rsidP="008969AB">
      <w:pPr>
        <w:pStyle w:val="FootnoteText"/>
        <w:jc w:val="both"/>
        <w:rPr>
          <w:sz w:val="18"/>
          <w:szCs w:val="18"/>
          <w:lang w:val="bg-BG"/>
        </w:rPr>
      </w:pPr>
      <w:r w:rsidRPr="00E74802">
        <w:rPr>
          <w:rStyle w:val="FootnoteReference"/>
          <w:sz w:val="18"/>
          <w:szCs w:val="18"/>
          <w:lang w:val="bg-BG"/>
        </w:rPr>
        <w:footnoteRef/>
      </w:r>
      <w:r w:rsidRPr="00E74802">
        <w:rPr>
          <w:sz w:val="18"/>
          <w:szCs w:val="18"/>
          <w:lang w:val="bg-BG"/>
        </w:rPr>
        <w:t xml:space="preserve"> </w:t>
      </w:r>
      <w:r w:rsidRPr="004D0661">
        <w:rPr>
          <w:sz w:val="18"/>
          <w:szCs w:val="18"/>
          <w:lang w:val="bg-BG"/>
        </w:rPr>
        <w:t>Обхватът на показателя фискален резерв е в съответствие с §1, т. 41 от Допълнителните разпоредби на Закона за публичните финанси.</w:t>
      </w:r>
    </w:p>
  </w:footnote>
  <w:footnote w:id="8">
    <w:p w14:paraId="3DFBF807" w14:textId="77777777" w:rsidR="00201AB8" w:rsidRPr="003B58FE" w:rsidRDefault="00201AB8" w:rsidP="00AE3436">
      <w:pPr>
        <w:pStyle w:val="FootnoteText"/>
        <w:rPr>
          <w:sz w:val="18"/>
          <w:lang w:val="bg-BG"/>
        </w:rPr>
      </w:pPr>
      <w:r w:rsidRPr="003B58FE">
        <w:rPr>
          <w:rStyle w:val="FootnoteReference"/>
          <w:sz w:val="18"/>
        </w:rPr>
        <w:footnoteRef/>
      </w:r>
      <w:r w:rsidRPr="003B58FE">
        <w:rPr>
          <w:sz w:val="18"/>
          <w:lang w:val="bg-BG"/>
        </w:rPr>
        <w:t xml:space="preserve"> Закон за корпоративното подоходно облагане.</w:t>
      </w:r>
    </w:p>
  </w:footnote>
  <w:footnote w:id="9">
    <w:p w14:paraId="0666F8B1" w14:textId="77777777" w:rsidR="00201AB8" w:rsidRPr="003B58FE" w:rsidRDefault="00201AB8" w:rsidP="00AE3436">
      <w:pPr>
        <w:pStyle w:val="FootnoteText"/>
        <w:rPr>
          <w:sz w:val="18"/>
          <w:lang w:val="bg-BG"/>
        </w:rPr>
      </w:pPr>
      <w:r w:rsidRPr="003B58FE">
        <w:rPr>
          <w:rStyle w:val="FootnoteReference"/>
          <w:sz w:val="18"/>
          <w:lang w:val="bg-BG"/>
        </w:rPr>
        <w:footnoteRef/>
      </w:r>
      <w:r w:rsidRPr="003B58FE">
        <w:rPr>
          <w:sz w:val="18"/>
          <w:lang w:val="bg-BG"/>
        </w:rPr>
        <w:t xml:space="preserve"> Малки и средни предприятия.</w:t>
      </w:r>
    </w:p>
  </w:footnote>
  <w:footnote w:id="10">
    <w:p w14:paraId="375F511A" w14:textId="77777777" w:rsidR="00201AB8" w:rsidRPr="0033780F" w:rsidRDefault="00201AB8" w:rsidP="008969AB">
      <w:pPr>
        <w:pStyle w:val="FootnoteText"/>
        <w:rPr>
          <w:lang w:val="bg-BG"/>
        </w:rPr>
      </w:pPr>
      <w:r w:rsidRPr="0033780F">
        <w:rPr>
          <w:rStyle w:val="FootnoteReference"/>
          <w:sz w:val="18"/>
          <w:lang w:val="bg-BG"/>
        </w:rPr>
        <w:footnoteRef/>
      </w:r>
      <w:r w:rsidRPr="0033780F">
        <w:rPr>
          <w:lang w:val="bg-BG"/>
        </w:rPr>
        <w:t xml:space="preserve"> </w:t>
      </w:r>
      <w:r w:rsidRPr="0033780F">
        <w:rPr>
          <w:sz w:val="18"/>
          <w:szCs w:val="16"/>
          <w:lang w:val="bg-BG"/>
        </w:rPr>
        <w:t>Държавният бюджет включва централен бюджет, бюджетите на НС, съдебната власт, министерствата и ведомствата.</w:t>
      </w:r>
    </w:p>
  </w:footnote>
  <w:footnote w:id="11">
    <w:p w14:paraId="5EB73221" w14:textId="77777777" w:rsidR="00201AB8" w:rsidRPr="0033780F" w:rsidRDefault="00201AB8" w:rsidP="008969AB">
      <w:pPr>
        <w:pStyle w:val="FootnoteText"/>
        <w:jc w:val="both"/>
        <w:rPr>
          <w:sz w:val="18"/>
          <w:szCs w:val="18"/>
          <w:lang w:val="bg-BG"/>
        </w:rPr>
      </w:pPr>
      <w:r w:rsidRPr="0033780F">
        <w:rPr>
          <w:rStyle w:val="FootnoteReference"/>
          <w:sz w:val="18"/>
          <w:lang w:val="bg-BG"/>
        </w:rPr>
        <w:footnoteRef/>
      </w:r>
      <w:r w:rsidRPr="0033780F">
        <w:rPr>
          <w:sz w:val="18"/>
          <w:szCs w:val="18"/>
          <w:lang w:val="bg-BG"/>
        </w:rPr>
        <w:t xml:space="preserve"> Поради извършено закръгление в млн. лв., някои сумарни позиции в Таблица № 1 и в текста не се изчерпват от съставните им числа.</w:t>
      </w:r>
    </w:p>
  </w:footnote>
  <w:footnote w:id="12">
    <w:p w14:paraId="350AF41B" w14:textId="77777777" w:rsidR="00201AB8" w:rsidRPr="006C2AFF" w:rsidRDefault="00201AB8" w:rsidP="008969AB">
      <w:pPr>
        <w:pStyle w:val="FootnoteText"/>
        <w:jc w:val="both"/>
        <w:rPr>
          <w:sz w:val="18"/>
          <w:szCs w:val="18"/>
        </w:rPr>
      </w:pPr>
      <w:r w:rsidRPr="0033780F">
        <w:rPr>
          <w:rStyle w:val="FootnoteReference"/>
          <w:sz w:val="18"/>
          <w:szCs w:val="18"/>
          <w:lang w:val="bg-BG"/>
        </w:rPr>
        <w:footnoteRef/>
      </w:r>
      <w:r w:rsidRPr="0033780F">
        <w:rPr>
          <w:sz w:val="18"/>
          <w:szCs w:val="18"/>
          <w:lang w:val="bg-BG"/>
        </w:rPr>
        <w:t xml:space="preserve"> В позицията "Резерв за непредвидени и неотложни разходи" се посочват само данните по разчет. Разходите по отчет се отразяват по съответните разходни позиции, към които се отнасят извършените разходи.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6C8"/>
    <w:multiLevelType w:val="hybridMultilevel"/>
    <w:tmpl w:val="C7C4237A"/>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3127CD0"/>
    <w:multiLevelType w:val="hybridMultilevel"/>
    <w:tmpl w:val="1338A1D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4105CA9"/>
    <w:multiLevelType w:val="hybridMultilevel"/>
    <w:tmpl w:val="2D5A56EE"/>
    <w:lvl w:ilvl="0" w:tplc="88C42E5E">
      <w:start w:val="1"/>
      <w:numFmt w:val="decimal"/>
      <w:pStyle w:val="ParagraphNumbering"/>
      <w:lvlText w:val="%1.     "/>
      <w:lvlJc w:val="left"/>
      <w:pPr>
        <w:tabs>
          <w:tab w:val="num" w:pos="1260"/>
        </w:tabs>
        <w:ind w:left="540" w:firstLine="0"/>
      </w:pPr>
      <w:rPr>
        <w:rFonts w:hint="default"/>
        <w:b/>
      </w:rPr>
    </w:lvl>
    <w:lvl w:ilvl="1" w:tplc="F6E687FE">
      <w:start w:val="1"/>
      <w:numFmt w:val="upperRoman"/>
      <w:lvlText w:val="%2."/>
      <w:lvlJc w:val="right"/>
      <w:pPr>
        <w:tabs>
          <w:tab w:val="num" w:pos="1260"/>
        </w:tabs>
        <w:ind w:left="1260" w:hanging="18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rPr>
        <w:b/>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A04348B"/>
    <w:multiLevelType w:val="multilevel"/>
    <w:tmpl w:val="ABFA1C20"/>
    <w:lvl w:ilvl="0">
      <w:start w:val="1"/>
      <w:numFmt w:val="bullet"/>
      <w:lvlText w:val=""/>
      <w:lvlJc w:val="left"/>
      <w:pPr>
        <w:ind w:left="0" w:firstLine="426"/>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372835"/>
    <w:multiLevelType w:val="multilevel"/>
    <w:tmpl w:val="7B586E5A"/>
    <w:lvl w:ilvl="0">
      <w:start w:val="1"/>
      <w:numFmt w:val="bullet"/>
      <w:lvlText w:val=""/>
      <w:lvlJc w:val="left"/>
      <w:pPr>
        <w:tabs>
          <w:tab w:val="num" w:pos="532"/>
        </w:tabs>
        <w:ind w:left="532" w:hanging="390"/>
      </w:pPr>
      <w:rPr>
        <w:rFonts w:ascii="Wingdings" w:hAnsi="Wingding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5" w15:restartNumberingAfterBreak="0">
    <w:nsid w:val="20EE040C"/>
    <w:multiLevelType w:val="hybridMultilevel"/>
    <w:tmpl w:val="DF5C7CEA"/>
    <w:lvl w:ilvl="0" w:tplc="04020005">
      <w:start w:val="1"/>
      <w:numFmt w:val="bullet"/>
      <w:lvlText w:val=""/>
      <w:lvlJc w:val="left"/>
      <w:pPr>
        <w:tabs>
          <w:tab w:val="num" w:pos="360"/>
        </w:tabs>
        <w:ind w:left="360" w:hanging="360"/>
      </w:pPr>
      <w:rPr>
        <w:rFonts w:ascii="Wingdings" w:hAnsi="Wingdings" w:hint="default"/>
        <w:color w:val="auto"/>
        <w:sz w:val="28"/>
        <w:u w:color="FFFFFF"/>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8D6CFF"/>
    <w:multiLevelType w:val="hybridMultilevel"/>
    <w:tmpl w:val="8E9EC7B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C6531B"/>
    <w:multiLevelType w:val="hybridMultilevel"/>
    <w:tmpl w:val="8B6EA6A0"/>
    <w:lvl w:ilvl="0" w:tplc="EF702B0E">
      <w:start w:val="1"/>
      <w:numFmt w:val="bullet"/>
      <w:lvlText w:val=""/>
      <w:lvlJc w:val="left"/>
      <w:pPr>
        <w:ind w:left="1571" w:hanging="360"/>
      </w:pPr>
      <w:rPr>
        <w:rFonts w:ascii="Wingdings" w:hAnsi="Wingdings" w:hint="default"/>
        <w:color w:val="auto"/>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 w15:restartNumberingAfterBreak="0">
    <w:nsid w:val="29DF1269"/>
    <w:multiLevelType w:val="hybridMultilevel"/>
    <w:tmpl w:val="969A021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A71765A"/>
    <w:multiLevelType w:val="hybridMultilevel"/>
    <w:tmpl w:val="E5B26848"/>
    <w:lvl w:ilvl="0" w:tplc="86DE8046">
      <w:numFmt w:val="bullet"/>
      <w:lvlText w:val="-"/>
      <w:lvlJc w:val="left"/>
      <w:pPr>
        <w:ind w:left="1068" w:hanging="360"/>
      </w:pPr>
      <w:rPr>
        <w:rFonts w:ascii="Times New Roman" w:eastAsia="Calibri"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0" w15:restartNumberingAfterBreak="0">
    <w:nsid w:val="2F8B1941"/>
    <w:multiLevelType w:val="hybridMultilevel"/>
    <w:tmpl w:val="269A2F3C"/>
    <w:lvl w:ilvl="0" w:tplc="1AC8DDA4">
      <w:start w:val="1"/>
      <w:numFmt w:val="bullet"/>
      <w:lvlText w:val=""/>
      <w:lvlJc w:val="left"/>
      <w:pPr>
        <w:tabs>
          <w:tab w:val="num" w:pos="1440"/>
        </w:tabs>
        <w:ind w:left="740" w:firstLine="340"/>
      </w:pPr>
      <w:rPr>
        <w:rFonts w:ascii="Wingdings" w:hAnsi="Wingdings" w:hint="default"/>
        <w:sz w:val="24"/>
        <w:szCs w:val="24"/>
      </w:rPr>
    </w:lvl>
    <w:lvl w:ilvl="1" w:tplc="B8089F6A">
      <w:start w:val="1"/>
      <w:numFmt w:val="bullet"/>
      <w:lvlText w:val=""/>
      <w:lvlJc w:val="left"/>
      <w:pPr>
        <w:tabs>
          <w:tab w:val="num" w:pos="1437"/>
        </w:tabs>
        <w:ind w:left="1437" w:hanging="357"/>
      </w:pPr>
      <w:rPr>
        <w:rFonts w:ascii="Wingdings" w:hAnsi="Wingdings" w:hint="default"/>
        <w:color w:val="auto"/>
        <w:sz w:val="28"/>
        <w:szCs w:val="24"/>
        <w:u w:color="FFFFFF"/>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706099"/>
    <w:multiLevelType w:val="hybridMultilevel"/>
    <w:tmpl w:val="517EAAC6"/>
    <w:lvl w:ilvl="0" w:tplc="04020005">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2" w15:restartNumberingAfterBreak="0">
    <w:nsid w:val="37434A9D"/>
    <w:multiLevelType w:val="hybridMultilevel"/>
    <w:tmpl w:val="63A045B2"/>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DCB4556"/>
    <w:multiLevelType w:val="hybridMultilevel"/>
    <w:tmpl w:val="4CFCC9E0"/>
    <w:lvl w:ilvl="0" w:tplc="04020003">
      <w:start w:val="1"/>
      <w:numFmt w:val="bullet"/>
      <w:lvlText w:val="o"/>
      <w:lvlJc w:val="left"/>
      <w:pPr>
        <w:tabs>
          <w:tab w:val="num" w:pos="1346"/>
        </w:tabs>
        <w:ind w:left="984" w:firstLine="96"/>
      </w:pPr>
      <w:rPr>
        <w:rFonts w:ascii="Courier New" w:hAnsi="Courier New" w:cs="Courier New" w:hint="default"/>
        <w:color w:val="auto"/>
      </w:rPr>
    </w:lvl>
    <w:lvl w:ilvl="1" w:tplc="04020003" w:tentative="1">
      <w:start w:val="1"/>
      <w:numFmt w:val="bullet"/>
      <w:lvlText w:val="o"/>
      <w:lvlJc w:val="left"/>
      <w:pPr>
        <w:tabs>
          <w:tab w:val="num" w:pos="1383"/>
        </w:tabs>
        <w:ind w:left="1383" w:hanging="360"/>
      </w:pPr>
      <w:rPr>
        <w:rFonts w:ascii="Courier New" w:hAnsi="Courier New" w:cs="Courier New" w:hint="default"/>
      </w:rPr>
    </w:lvl>
    <w:lvl w:ilvl="2" w:tplc="04020005" w:tentative="1">
      <w:start w:val="1"/>
      <w:numFmt w:val="bullet"/>
      <w:lvlText w:val=""/>
      <w:lvlJc w:val="left"/>
      <w:pPr>
        <w:tabs>
          <w:tab w:val="num" w:pos="2103"/>
        </w:tabs>
        <w:ind w:left="2103" w:hanging="360"/>
      </w:pPr>
      <w:rPr>
        <w:rFonts w:ascii="Wingdings" w:hAnsi="Wingdings" w:hint="default"/>
      </w:rPr>
    </w:lvl>
    <w:lvl w:ilvl="3" w:tplc="04020001" w:tentative="1">
      <w:start w:val="1"/>
      <w:numFmt w:val="bullet"/>
      <w:lvlText w:val=""/>
      <w:lvlJc w:val="left"/>
      <w:pPr>
        <w:tabs>
          <w:tab w:val="num" w:pos="2823"/>
        </w:tabs>
        <w:ind w:left="2823" w:hanging="360"/>
      </w:pPr>
      <w:rPr>
        <w:rFonts w:ascii="Symbol" w:hAnsi="Symbol" w:hint="default"/>
      </w:rPr>
    </w:lvl>
    <w:lvl w:ilvl="4" w:tplc="04020003" w:tentative="1">
      <w:start w:val="1"/>
      <w:numFmt w:val="bullet"/>
      <w:lvlText w:val="o"/>
      <w:lvlJc w:val="left"/>
      <w:pPr>
        <w:tabs>
          <w:tab w:val="num" w:pos="3543"/>
        </w:tabs>
        <w:ind w:left="3543" w:hanging="360"/>
      </w:pPr>
      <w:rPr>
        <w:rFonts w:ascii="Courier New" w:hAnsi="Courier New" w:cs="Courier New" w:hint="default"/>
      </w:rPr>
    </w:lvl>
    <w:lvl w:ilvl="5" w:tplc="04020005" w:tentative="1">
      <w:start w:val="1"/>
      <w:numFmt w:val="bullet"/>
      <w:lvlText w:val=""/>
      <w:lvlJc w:val="left"/>
      <w:pPr>
        <w:tabs>
          <w:tab w:val="num" w:pos="4263"/>
        </w:tabs>
        <w:ind w:left="4263" w:hanging="360"/>
      </w:pPr>
      <w:rPr>
        <w:rFonts w:ascii="Wingdings" w:hAnsi="Wingdings" w:hint="default"/>
      </w:rPr>
    </w:lvl>
    <w:lvl w:ilvl="6" w:tplc="04020001" w:tentative="1">
      <w:start w:val="1"/>
      <w:numFmt w:val="bullet"/>
      <w:lvlText w:val=""/>
      <w:lvlJc w:val="left"/>
      <w:pPr>
        <w:tabs>
          <w:tab w:val="num" w:pos="4983"/>
        </w:tabs>
        <w:ind w:left="4983" w:hanging="360"/>
      </w:pPr>
      <w:rPr>
        <w:rFonts w:ascii="Symbol" w:hAnsi="Symbol" w:hint="default"/>
      </w:rPr>
    </w:lvl>
    <w:lvl w:ilvl="7" w:tplc="04020003" w:tentative="1">
      <w:start w:val="1"/>
      <w:numFmt w:val="bullet"/>
      <w:lvlText w:val="o"/>
      <w:lvlJc w:val="left"/>
      <w:pPr>
        <w:tabs>
          <w:tab w:val="num" w:pos="5703"/>
        </w:tabs>
        <w:ind w:left="5703" w:hanging="360"/>
      </w:pPr>
      <w:rPr>
        <w:rFonts w:ascii="Courier New" w:hAnsi="Courier New" w:cs="Courier New" w:hint="default"/>
      </w:rPr>
    </w:lvl>
    <w:lvl w:ilvl="8" w:tplc="04020005" w:tentative="1">
      <w:start w:val="1"/>
      <w:numFmt w:val="bullet"/>
      <w:lvlText w:val=""/>
      <w:lvlJc w:val="left"/>
      <w:pPr>
        <w:tabs>
          <w:tab w:val="num" w:pos="6423"/>
        </w:tabs>
        <w:ind w:left="6423" w:hanging="360"/>
      </w:pPr>
      <w:rPr>
        <w:rFonts w:ascii="Wingdings" w:hAnsi="Wingdings" w:hint="default"/>
      </w:rPr>
    </w:lvl>
  </w:abstractNum>
  <w:abstractNum w:abstractNumId="14" w15:restartNumberingAfterBreak="0">
    <w:nsid w:val="426D1F25"/>
    <w:multiLevelType w:val="multilevel"/>
    <w:tmpl w:val="FDE86A66"/>
    <w:lvl w:ilvl="0">
      <w:start w:val="1"/>
      <w:numFmt w:val="decimal"/>
      <w:lvlText w:val="%1."/>
      <w:lvlJc w:val="left"/>
      <w:pPr>
        <w:tabs>
          <w:tab w:val="num" w:pos="532"/>
        </w:tabs>
        <w:ind w:left="532" w:hanging="39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15" w15:restartNumberingAfterBreak="0">
    <w:nsid w:val="48843DC3"/>
    <w:multiLevelType w:val="hybridMultilevel"/>
    <w:tmpl w:val="59487C1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489254F4"/>
    <w:multiLevelType w:val="hybridMultilevel"/>
    <w:tmpl w:val="A78E9870"/>
    <w:lvl w:ilvl="0" w:tplc="0409000B">
      <w:start w:val="1"/>
      <w:numFmt w:val="bullet"/>
      <w:lvlText w:val=""/>
      <w:lvlJc w:val="left"/>
      <w:pPr>
        <w:tabs>
          <w:tab w:val="num" w:pos="360"/>
        </w:tabs>
        <w:ind w:left="360" w:hanging="360"/>
      </w:pPr>
      <w:rPr>
        <w:rFonts w:ascii="Wingdings" w:hAnsi="Wingdings" w:hint="default"/>
      </w:rPr>
    </w:lvl>
    <w:lvl w:ilvl="1" w:tplc="8DDE1D3E">
      <w:start w:val="1"/>
      <w:numFmt w:val="bullet"/>
      <w:lvlText w:val=""/>
      <w:lvlJc w:val="left"/>
      <w:pPr>
        <w:tabs>
          <w:tab w:val="num" w:pos="1383"/>
        </w:tabs>
        <w:ind w:left="683" w:firstLine="340"/>
      </w:pPr>
      <w:rPr>
        <w:rFonts w:ascii="Wingdings" w:hAnsi="Wingdings"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17" w15:restartNumberingAfterBreak="0">
    <w:nsid w:val="4A5F564A"/>
    <w:multiLevelType w:val="hybridMultilevel"/>
    <w:tmpl w:val="19C03E34"/>
    <w:lvl w:ilvl="0" w:tplc="B8089F6A">
      <w:start w:val="1"/>
      <w:numFmt w:val="bullet"/>
      <w:lvlText w:val=""/>
      <w:lvlJc w:val="left"/>
      <w:pPr>
        <w:tabs>
          <w:tab w:val="num" w:pos="6878"/>
        </w:tabs>
        <w:ind w:left="6878" w:hanging="357"/>
      </w:pPr>
      <w:rPr>
        <w:rFonts w:ascii="Wingdings" w:hAnsi="Wingdings" w:hint="default"/>
        <w:color w:val="auto"/>
        <w:sz w:val="28"/>
        <w:u w:color="FFFFFF"/>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B1C3D5E"/>
    <w:multiLevelType w:val="hybridMultilevel"/>
    <w:tmpl w:val="05085AC2"/>
    <w:lvl w:ilvl="0" w:tplc="EDA44120">
      <w:start w:val="1"/>
      <w:numFmt w:val="bullet"/>
      <w:lvlText w:val="-"/>
      <w:lvlJc w:val="left"/>
      <w:pPr>
        <w:tabs>
          <w:tab w:val="num" w:pos="700"/>
        </w:tabs>
        <w:ind w:left="700" w:hanging="360"/>
      </w:pPr>
      <w:rPr>
        <w:rFonts w:ascii="Mangal" w:hAnsi="Mangal" w:hint="default"/>
      </w:rPr>
    </w:lvl>
    <w:lvl w:ilvl="1" w:tplc="C7466056">
      <w:start w:val="1"/>
      <w:numFmt w:val="bullet"/>
      <w:lvlText w:val=""/>
      <w:lvlJc w:val="left"/>
      <w:pPr>
        <w:tabs>
          <w:tab w:val="num" w:pos="1440"/>
        </w:tabs>
        <w:ind w:left="740" w:firstLine="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EB1EBB"/>
    <w:multiLevelType w:val="hybridMultilevel"/>
    <w:tmpl w:val="A7840AB6"/>
    <w:lvl w:ilvl="0" w:tplc="531CAAA0">
      <w:start w:val="1"/>
      <w:numFmt w:val="bullet"/>
      <w:lvlText w:val=""/>
      <w:lvlJc w:val="left"/>
      <w:pPr>
        <w:tabs>
          <w:tab w:val="num" w:pos="540"/>
        </w:tabs>
        <w:ind w:left="540" w:hanging="360"/>
      </w:pPr>
      <w:rPr>
        <w:rFonts w:ascii="Wingdings" w:hAnsi="Wingdings" w:hint="default"/>
        <w:color w:val="auto"/>
      </w:rPr>
    </w:lvl>
    <w:lvl w:ilvl="1" w:tplc="60389F10">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3F39CB"/>
    <w:multiLevelType w:val="hybridMultilevel"/>
    <w:tmpl w:val="BACE12F8"/>
    <w:lvl w:ilvl="0" w:tplc="0402000D">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1" w15:restartNumberingAfterBreak="0">
    <w:nsid w:val="523F1141"/>
    <w:multiLevelType w:val="hybridMultilevel"/>
    <w:tmpl w:val="3B245104"/>
    <w:lvl w:ilvl="0" w:tplc="5894B4C2">
      <w:start w:val="4"/>
      <w:numFmt w:val="bullet"/>
      <w:lvlText w:val="-"/>
      <w:lvlJc w:val="left"/>
      <w:pPr>
        <w:ind w:left="1068" w:hanging="360"/>
      </w:pPr>
      <w:rPr>
        <w:rFonts w:ascii="Calibri" w:eastAsia="MS Mincho" w:hAnsi="Calibri" w:cs="Calibri"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2" w15:restartNumberingAfterBreak="0">
    <w:nsid w:val="527E6B8E"/>
    <w:multiLevelType w:val="hybridMultilevel"/>
    <w:tmpl w:val="C72A3036"/>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53A41434"/>
    <w:multiLevelType w:val="hybridMultilevel"/>
    <w:tmpl w:val="D4069CA2"/>
    <w:lvl w:ilvl="0" w:tplc="AB6E2D68">
      <w:start w:val="1"/>
      <w:numFmt w:val="bullet"/>
      <w:lvlText w:val=""/>
      <w:lvlJc w:val="left"/>
      <w:pPr>
        <w:tabs>
          <w:tab w:val="num" w:pos="7650"/>
        </w:tabs>
        <w:ind w:left="7650" w:hanging="360"/>
      </w:pPr>
      <w:rPr>
        <w:rFonts w:ascii="Wingdings" w:hAnsi="Wingdings" w:hint="default"/>
        <w:color w:val="auto"/>
        <w:sz w:val="24"/>
        <w:szCs w:val="24"/>
      </w:rPr>
    </w:lvl>
    <w:lvl w:ilvl="1" w:tplc="7DDCFFB6">
      <w:start w:val="1"/>
      <w:numFmt w:val="bullet"/>
      <w:lvlText w:val=""/>
      <w:lvlJc w:val="left"/>
      <w:pPr>
        <w:tabs>
          <w:tab w:val="num" w:pos="1440"/>
        </w:tabs>
        <w:ind w:left="1440" w:hanging="360"/>
      </w:pPr>
      <w:rPr>
        <w:rFonts w:ascii="Wingdings" w:hAnsi="Wingdings"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6E25D3"/>
    <w:multiLevelType w:val="hybridMultilevel"/>
    <w:tmpl w:val="27BA74F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55D92F24"/>
    <w:multiLevelType w:val="hybridMultilevel"/>
    <w:tmpl w:val="C3E23384"/>
    <w:lvl w:ilvl="0" w:tplc="0402000D">
      <w:start w:val="1"/>
      <w:numFmt w:val="bullet"/>
      <w:lvlText w:val=""/>
      <w:lvlJc w:val="left"/>
      <w:pPr>
        <w:ind w:left="2250" w:hanging="360"/>
      </w:pPr>
      <w:rPr>
        <w:rFonts w:ascii="Wingdings" w:hAnsi="Wingdings" w:hint="default"/>
      </w:rPr>
    </w:lvl>
    <w:lvl w:ilvl="1" w:tplc="04020003" w:tentative="1">
      <w:start w:val="1"/>
      <w:numFmt w:val="bullet"/>
      <w:lvlText w:val="o"/>
      <w:lvlJc w:val="left"/>
      <w:pPr>
        <w:ind w:left="2040" w:hanging="360"/>
      </w:pPr>
      <w:rPr>
        <w:rFonts w:ascii="Courier New" w:hAnsi="Courier New" w:cs="Courier New" w:hint="default"/>
      </w:rPr>
    </w:lvl>
    <w:lvl w:ilvl="2" w:tplc="04020005" w:tentative="1">
      <w:start w:val="1"/>
      <w:numFmt w:val="bullet"/>
      <w:lvlText w:val=""/>
      <w:lvlJc w:val="left"/>
      <w:pPr>
        <w:ind w:left="2760" w:hanging="360"/>
      </w:pPr>
      <w:rPr>
        <w:rFonts w:ascii="Wingdings" w:hAnsi="Wingdings" w:hint="default"/>
      </w:rPr>
    </w:lvl>
    <w:lvl w:ilvl="3" w:tplc="04020001" w:tentative="1">
      <w:start w:val="1"/>
      <w:numFmt w:val="bullet"/>
      <w:lvlText w:val=""/>
      <w:lvlJc w:val="left"/>
      <w:pPr>
        <w:ind w:left="3480" w:hanging="360"/>
      </w:pPr>
      <w:rPr>
        <w:rFonts w:ascii="Symbol" w:hAnsi="Symbol" w:hint="default"/>
      </w:rPr>
    </w:lvl>
    <w:lvl w:ilvl="4" w:tplc="04020003" w:tentative="1">
      <w:start w:val="1"/>
      <w:numFmt w:val="bullet"/>
      <w:lvlText w:val="o"/>
      <w:lvlJc w:val="left"/>
      <w:pPr>
        <w:ind w:left="4200" w:hanging="360"/>
      </w:pPr>
      <w:rPr>
        <w:rFonts w:ascii="Courier New" w:hAnsi="Courier New" w:cs="Courier New" w:hint="default"/>
      </w:rPr>
    </w:lvl>
    <w:lvl w:ilvl="5" w:tplc="04020005" w:tentative="1">
      <w:start w:val="1"/>
      <w:numFmt w:val="bullet"/>
      <w:lvlText w:val=""/>
      <w:lvlJc w:val="left"/>
      <w:pPr>
        <w:ind w:left="4920" w:hanging="360"/>
      </w:pPr>
      <w:rPr>
        <w:rFonts w:ascii="Wingdings" w:hAnsi="Wingdings" w:hint="default"/>
      </w:rPr>
    </w:lvl>
    <w:lvl w:ilvl="6" w:tplc="04020001" w:tentative="1">
      <w:start w:val="1"/>
      <w:numFmt w:val="bullet"/>
      <w:lvlText w:val=""/>
      <w:lvlJc w:val="left"/>
      <w:pPr>
        <w:ind w:left="5640" w:hanging="360"/>
      </w:pPr>
      <w:rPr>
        <w:rFonts w:ascii="Symbol" w:hAnsi="Symbol" w:hint="default"/>
      </w:rPr>
    </w:lvl>
    <w:lvl w:ilvl="7" w:tplc="04020003" w:tentative="1">
      <w:start w:val="1"/>
      <w:numFmt w:val="bullet"/>
      <w:lvlText w:val="o"/>
      <w:lvlJc w:val="left"/>
      <w:pPr>
        <w:ind w:left="6360" w:hanging="360"/>
      </w:pPr>
      <w:rPr>
        <w:rFonts w:ascii="Courier New" w:hAnsi="Courier New" w:cs="Courier New" w:hint="default"/>
      </w:rPr>
    </w:lvl>
    <w:lvl w:ilvl="8" w:tplc="04020005" w:tentative="1">
      <w:start w:val="1"/>
      <w:numFmt w:val="bullet"/>
      <w:lvlText w:val=""/>
      <w:lvlJc w:val="left"/>
      <w:pPr>
        <w:ind w:left="7080" w:hanging="360"/>
      </w:pPr>
      <w:rPr>
        <w:rFonts w:ascii="Wingdings" w:hAnsi="Wingdings" w:hint="default"/>
      </w:rPr>
    </w:lvl>
  </w:abstractNum>
  <w:abstractNum w:abstractNumId="26" w15:restartNumberingAfterBreak="0">
    <w:nsid w:val="582E15B7"/>
    <w:multiLevelType w:val="hybridMultilevel"/>
    <w:tmpl w:val="B862F89C"/>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7" w15:restartNumberingAfterBreak="0">
    <w:nsid w:val="637F5E06"/>
    <w:multiLevelType w:val="hybridMultilevel"/>
    <w:tmpl w:val="18803A0C"/>
    <w:lvl w:ilvl="0" w:tplc="F934C166">
      <w:numFmt w:val="bullet"/>
      <w:lvlText w:val="-"/>
      <w:lvlJc w:val="left"/>
      <w:pPr>
        <w:ind w:left="898" w:hanging="360"/>
      </w:pPr>
      <w:rPr>
        <w:rFonts w:ascii="Times New Roman" w:eastAsia="Times New Roman" w:hAnsi="Times New Roman" w:cs="Times New Roman" w:hint="default"/>
      </w:rPr>
    </w:lvl>
    <w:lvl w:ilvl="1" w:tplc="04020003" w:tentative="1">
      <w:start w:val="1"/>
      <w:numFmt w:val="bullet"/>
      <w:lvlText w:val="o"/>
      <w:lvlJc w:val="left"/>
      <w:pPr>
        <w:ind w:left="1618" w:hanging="360"/>
      </w:pPr>
      <w:rPr>
        <w:rFonts w:ascii="Courier New" w:hAnsi="Courier New" w:cs="Courier New" w:hint="default"/>
      </w:rPr>
    </w:lvl>
    <w:lvl w:ilvl="2" w:tplc="04020005" w:tentative="1">
      <w:start w:val="1"/>
      <w:numFmt w:val="bullet"/>
      <w:lvlText w:val=""/>
      <w:lvlJc w:val="left"/>
      <w:pPr>
        <w:ind w:left="2338" w:hanging="360"/>
      </w:pPr>
      <w:rPr>
        <w:rFonts w:ascii="Wingdings" w:hAnsi="Wingdings" w:hint="default"/>
      </w:rPr>
    </w:lvl>
    <w:lvl w:ilvl="3" w:tplc="04020001" w:tentative="1">
      <w:start w:val="1"/>
      <w:numFmt w:val="bullet"/>
      <w:lvlText w:val=""/>
      <w:lvlJc w:val="left"/>
      <w:pPr>
        <w:ind w:left="3058" w:hanging="360"/>
      </w:pPr>
      <w:rPr>
        <w:rFonts w:ascii="Symbol" w:hAnsi="Symbol" w:hint="default"/>
      </w:rPr>
    </w:lvl>
    <w:lvl w:ilvl="4" w:tplc="04020003" w:tentative="1">
      <w:start w:val="1"/>
      <w:numFmt w:val="bullet"/>
      <w:lvlText w:val="o"/>
      <w:lvlJc w:val="left"/>
      <w:pPr>
        <w:ind w:left="3778" w:hanging="360"/>
      </w:pPr>
      <w:rPr>
        <w:rFonts w:ascii="Courier New" w:hAnsi="Courier New" w:cs="Courier New" w:hint="default"/>
      </w:rPr>
    </w:lvl>
    <w:lvl w:ilvl="5" w:tplc="04020005" w:tentative="1">
      <w:start w:val="1"/>
      <w:numFmt w:val="bullet"/>
      <w:lvlText w:val=""/>
      <w:lvlJc w:val="left"/>
      <w:pPr>
        <w:ind w:left="4498" w:hanging="360"/>
      </w:pPr>
      <w:rPr>
        <w:rFonts w:ascii="Wingdings" w:hAnsi="Wingdings" w:hint="default"/>
      </w:rPr>
    </w:lvl>
    <w:lvl w:ilvl="6" w:tplc="04020001" w:tentative="1">
      <w:start w:val="1"/>
      <w:numFmt w:val="bullet"/>
      <w:lvlText w:val=""/>
      <w:lvlJc w:val="left"/>
      <w:pPr>
        <w:ind w:left="5218" w:hanging="360"/>
      </w:pPr>
      <w:rPr>
        <w:rFonts w:ascii="Symbol" w:hAnsi="Symbol" w:hint="default"/>
      </w:rPr>
    </w:lvl>
    <w:lvl w:ilvl="7" w:tplc="04020003" w:tentative="1">
      <w:start w:val="1"/>
      <w:numFmt w:val="bullet"/>
      <w:lvlText w:val="o"/>
      <w:lvlJc w:val="left"/>
      <w:pPr>
        <w:ind w:left="5938" w:hanging="360"/>
      </w:pPr>
      <w:rPr>
        <w:rFonts w:ascii="Courier New" w:hAnsi="Courier New" w:cs="Courier New" w:hint="default"/>
      </w:rPr>
    </w:lvl>
    <w:lvl w:ilvl="8" w:tplc="04020005" w:tentative="1">
      <w:start w:val="1"/>
      <w:numFmt w:val="bullet"/>
      <w:lvlText w:val=""/>
      <w:lvlJc w:val="left"/>
      <w:pPr>
        <w:ind w:left="6658" w:hanging="360"/>
      </w:pPr>
      <w:rPr>
        <w:rFonts w:ascii="Wingdings" w:hAnsi="Wingdings" w:hint="default"/>
      </w:rPr>
    </w:lvl>
  </w:abstractNum>
  <w:abstractNum w:abstractNumId="28" w15:restartNumberingAfterBreak="0">
    <w:nsid w:val="643A5E75"/>
    <w:multiLevelType w:val="hybridMultilevel"/>
    <w:tmpl w:val="B314ADC8"/>
    <w:lvl w:ilvl="0" w:tplc="04020001">
      <w:start w:val="1"/>
      <w:numFmt w:val="bullet"/>
      <w:lvlText w:val=""/>
      <w:lvlJc w:val="left"/>
      <w:pPr>
        <w:tabs>
          <w:tab w:val="num" w:pos="1101"/>
        </w:tabs>
        <w:ind w:left="1101" w:hanging="360"/>
      </w:pPr>
      <w:rPr>
        <w:rFonts w:ascii="Symbol" w:hAnsi="Symbol" w:hint="default"/>
      </w:rPr>
    </w:lvl>
    <w:lvl w:ilvl="1" w:tplc="04020003">
      <w:start w:val="1"/>
      <w:numFmt w:val="bullet"/>
      <w:lvlText w:val="o"/>
      <w:lvlJc w:val="left"/>
      <w:pPr>
        <w:tabs>
          <w:tab w:val="num" w:pos="1821"/>
        </w:tabs>
        <w:ind w:left="1821" w:hanging="360"/>
      </w:pPr>
      <w:rPr>
        <w:rFonts w:ascii="Courier New" w:hAnsi="Courier New" w:cs="Courier New" w:hint="default"/>
      </w:rPr>
    </w:lvl>
    <w:lvl w:ilvl="2" w:tplc="04020005" w:tentative="1">
      <w:start w:val="1"/>
      <w:numFmt w:val="bullet"/>
      <w:lvlText w:val=""/>
      <w:lvlJc w:val="left"/>
      <w:pPr>
        <w:tabs>
          <w:tab w:val="num" w:pos="2541"/>
        </w:tabs>
        <w:ind w:left="2541" w:hanging="360"/>
      </w:pPr>
      <w:rPr>
        <w:rFonts w:ascii="Wingdings" w:hAnsi="Wingdings" w:hint="default"/>
      </w:rPr>
    </w:lvl>
    <w:lvl w:ilvl="3" w:tplc="04020001" w:tentative="1">
      <w:start w:val="1"/>
      <w:numFmt w:val="bullet"/>
      <w:lvlText w:val=""/>
      <w:lvlJc w:val="left"/>
      <w:pPr>
        <w:tabs>
          <w:tab w:val="num" w:pos="3261"/>
        </w:tabs>
        <w:ind w:left="3261" w:hanging="360"/>
      </w:pPr>
      <w:rPr>
        <w:rFonts w:ascii="Symbol" w:hAnsi="Symbol" w:hint="default"/>
      </w:rPr>
    </w:lvl>
    <w:lvl w:ilvl="4" w:tplc="04020003" w:tentative="1">
      <w:start w:val="1"/>
      <w:numFmt w:val="bullet"/>
      <w:lvlText w:val="o"/>
      <w:lvlJc w:val="left"/>
      <w:pPr>
        <w:tabs>
          <w:tab w:val="num" w:pos="3981"/>
        </w:tabs>
        <w:ind w:left="3981" w:hanging="360"/>
      </w:pPr>
      <w:rPr>
        <w:rFonts w:ascii="Courier New" w:hAnsi="Courier New" w:cs="Courier New" w:hint="default"/>
      </w:rPr>
    </w:lvl>
    <w:lvl w:ilvl="5" w:tplc="04020005" w:tentative="1">
      <w:start w:val="1"/>
      <w:numFmt w:val="bullet"/>
      <w:lvlText w:val=""/>
      <w:lvlJc w:val="left"/>
      <w:pPr>
        <w:tabs>
          <w:tab w:val="num" w:pos="4701"/>
        </w:tabs>
        <w:ind w:left="4701" w:hanging="360"/>
      </w:pPr>
      <w:rPr>
        <w:rFonts w:ascii="Wingdings" w:hAnsi="Wingdings" w:hint="default"/>
      </w:rPr>
    </w:lvl>
    <w:lvl w:ilvl="6" w:tplc="04020001" w:tentative="1">
      <w:start w:val="1"/>
      <w:numFmt w:val="bullet"/>
      <w:lvlText w:val=""/>
      <w:lvlJc w:val="left"/>
      <w:pPr>
        <w:tabs>
          <w:tab w:val="num" w:pos="5421"/>
        </w:tabs>
        <w:ind w:left="5421" w:hanging="360"/>
      </w:pPr>
      <w:rPr>
        <w:rFonts w:ascii="Symbol" w:hAnsi="Symbol" w:hint="default"/>
      </w:rPr>
    </w:lvl>
    <w:lvl w:ilvl="7" w:tplc="04020003" w:tentative="1">
      <w:start w:val="1"/>
      <w:numFmt w:val="bullet"/>
      <w:lvlText w:val="o"/>
      <w:lvlJc w:val="left"/>
      <w:pPr>
        <w:tabs>
          <w:tab w:val="num" w:pos="6141"/>
        </w:tabs>
        <w:ind w:left="6141" w:hanging="360"/>
      </w:pPr>
      <w:rPr>
        <w:rFonts w:ascii="Courier New" w:hAnsi="Courier New" w:cs="Courier New" w:hint="default"/>
      </w:rPr>
    </w:lvl>
    <w:lvl w:ilvl="8" w:tplc="04020005" w:tentative="1">
      <w:start w:val="1"/>
      <w:numFmt w:val="bullet"/>
      <w:lvlText w:val=""/>
      <w:lvlJc w:val="left"/>
      <w:pPr>
        <w:tabs>
          <w:tab w:val="num" w:pos="6861"/>
        </w:tabs>
        <w:ind w:left="6861" w:hanging="360"/>
      </w:pPr>
      <w:rPr>
        <w:rFonts w:ascii="Wingdings" w:hAnsi="Wingdings" w:hint="default"/>
      </w:rPr>
    </w:lvl>
  </w:abstractNum>
  <w:abstractNum w:abstractNumId="29" w15:restartNumberingAfterBreak="0">
    <w:nsid w:val="65CD370F"/>
    <w:multiLevelType w:val="hybridMultilevel"/>
    <w:tmpl w:val="F0D23F02"/>
    <w:lvl w:ilvl="0" w:tplc="708AF0F2">
      <w:start w:val="1"/>
      <w:numFmt w:val="bullet"/>
      <w:lvlText w:val=""/>
      <w:lvlJc w:val="left"/>
      <w:pPr>
        <w:tabs>
          <w:tab w:val="num" w:pos="700"/>
        </w:tabs>
        <w:ind w:left="700" w:hanging="360"/>
      </w:pPr>
      <w:rPr>
        <w:rFonts w:ascii="Symbol" w:hAnsi="Symbol" w:hint="default"/>
      </w:rPr>
    </w:lvl>
    <w:lvl w:ilvl="1" w:tplc="C7466056">
      <w:start w:val="1"/>
      <w:numFmt w:val="bullet"/>
      <w:lvlText w:val=""/>
      <w:lvlJc w:val="left"/>
      <w:pPr>
        <w:tabs>
          <w:tab w:val="num" w:pos="1440"/>
        </w:tabs>
        <w:ind w:left="740" w:firstLine="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9A500E"/>
    <w:multiLevelType w:val="hybridMultilevel"/>
    <w:tmpl w:val="C470860A"/>
    <w:lvl w:ilvl="0" w:tplc="0402000B">
      <w:start w:val="1"/>
      <w:numFmt w:val="bullet"/>
      <w:lvlText w:val=""/>
      <w:lvlJc w:val="left"/>
      <w:pPr>
        <w:tabs>
          <w:tab w:val="num" w:pos="700"/>
        </w:tabs>
        <w:ind w:left="700" w:hanging="360"/>
      </w:pPr>
      <w:rPr>
        <w:rFonts w:ascii="Wingdings" w:hAnsi="Wingdings" w:hint="default"/>
      </w:rPr>
    </w:lvl>
    <w:lvl w:ilvl="1" w:tplc="C7466056">
      <w:start w:val="1"/>
      <w:numFmt w:val="bullet"/>
      <w:lvlText w:val=""/>
      <w:lvlJc w:val="left"/>
      <w:pPr>
        <w:tabs>
          <w:tab w:val="num" w:pos="1440"/>
        </w:tabs>
        <w:ind w:left="740" w:firstLine="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9E6BBC"/>
    <w:multiLevelType w:val="hybridMultilevel"/>
    <w:tmpl w:val="A3186A2C"/>
    <w:lvl w:ilvl="0" w:tplc="3B28C328">
      <w:start w:val="1"/>
      <w:numFmt w:val="bullet"/>
      <w:lvlText w:val="♦"/>
      <w:lvlJc w:val="left"/>
      <w:pPr>
        <w:tabs>
          <w:tab w:val="num" w:pos="2880"/>
        </w:tabs>
        <w:ind w:left="2880" w:hanging="360"/>
      </w:pPr>
      <w:rPr>
        <w:rFonts w:ascii="Courier New" w:hAnsi="Courier New" w:hint="default"/>
        <w:sz w:val="24"/>
        <w:szCs w:val="24"/>
      </w:rPr>
    </w:lvl>
    <w:lvl w:ilvl="1" w:tplc="8D0EC7F8">
      <w:start w:val="1"/>
      <w:numFmt w:val="bullet"/>
      <w:lvlText w:val=""/>
      <w:lvlJc w:val="left"/>
      <w:pPr>
        <w:tabs>
          <w:tab w:val="num" w:pos="2160"/>
        </w:tabs>
        <w:ind w:left="2160" w:hanging="360"/>
      </w:pPr>
      <w:rPr>
        <w:rFonts w:ascii="Wingdings" w:hAnsi="Wingdings" w:hint="default"/>
        <w:color w:val="auto"/>
        <w:sz w:val="24"/>
        <w:szCs w:val="24"/>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8570DF1"/>
    <w:multiLevelType w:val="hybridMultilevel"/>
    <w:tmpl w:val="ED1850D4"/>
    <w:lvl w:ilvl="0" w:tplc="6DF4B1D6">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3" w15:restartNumberingAfterBreak="0">
    <w:nsid w:val="68B65AC9"/>
    <w:multiLevelType w:val="hybridMultilevel"/>
    <w:tmpl w:val="313EA526"/>
    <w:lvl w:ilvl="0" w:tplc="257A31AA">
      <w:start w:val="1"/>
      <w:numFmt w:val="bullet"/>
      <w:lvlText w:val=""/>
      <w:lvlJc w:val="left"/>
      <w:pPr>
        <w:tabs>
          <w:tab w:val="num" w:pos="540"/>
        </w:tabs>
        <w:ind w:left="30" w:firstLine="15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204032"/>
    <w:multiLevelType w:val="hybridMultilevel"/>
    <w:tmpl w:val="5A7CE09A"/>
    <w:lvl w:ilvl="0" w:tplc="3B28C328">
      <w:start w:val="1"/>
      <w:numFmt w:val="bullet"/>
      <w:lvlText w:val="♦"/>
      <w:lvlJc w:val="left"/>
      <w:pPr>
        <w:tabs>
          <w:tab w:val="num" w:pos="2880"/>
        </w:tabs>
        <w:ind w:left="2880" w:hanging="360"/>
      </w:pPr>
      <w:rPr>
        <w:rFonts w:ascii="Courier New" w:hAnsi="Courier New" w:hint="default"/>
        <w:sz w:val="24"/>
        <w:szCs w:val="24"/>
      </w:rPr>
    </w:lvl>
    <w:lvl w:ilvl="1" w:tplc="7DDCFFB6">
      <w:start w:val="1"/>
      <w:numFmt w:val="bullet"/>
      <w:lvlText w:val=""/>
      <w:lvlJc w:val="left"/>
      <w:pPr>
        <w:tabs>
          <w:tab w:val="num" w:pos="2160"/>
        </w:tabs>
        <w:ind w:left="2160" w:hanging="360"/>
      </w:pPr>
      <w:rPr>
        <w:rFonts w:ascii="Wingdings" w:hAnsi="Wingdings" w:hint="default"/>
        <w:sz w:val="24"/>
        <w:szCs w:val="24"/>
      </w:rPr>
    </w:lvl>
    <w:lvl w:ilvl="2" w:tplc="F3BE7F08">
      <w:start w:val="1"/>
      <w:numFmt w:val="bullet"/>
      <w:lvlText w:val=""/>
      <w:lvlJc w:val="left"/>
      <w:pPr>
        <w:tabs>
          <w:tab w:val="num" w:pos="2880"/>
        </w:tabs>
        <w:ind w:left="2880" w:hanging="360"/>
      </w:pPr>
      <w:rPr>
        <w:rFonts w:ascii="Wingdings" w:hAnsi="Wingdings" w:hint="default"/>
        <w:color w:val="000000"/>
        <w:sz w:val="24"/>
        <w:szCs w:val="24"/>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6BC836AB"/>
    <w:multiLevelType w:val="hybridMultilevel"/>
    <w:tmpl w:val="11FA283A"/>
    <w:lvl w:ilvl="0" w:tplc="BF8C18B4">
      <w:numFmt w:val="bullet"/>
      <w:lvlText w:val="-"/>
      <w:lvlJc w:val="left"/>
      <w:pPr>
        <w:ind w:left="643"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6" w15:restartNumberingAfterBreak="0">
    <w:nsid w:val="6D454E36"/>
    <w:multiLevelType w:val="hybridMultilevel"/>
    <w:tmpl w:val="7F4E3EA8"/>
    <w:lvl w:ilvl="0" w:tplc="59BA8D14">
      <w:start w:val="1"/>
      <w:numFmt w:val="bullet"/>
      <w:lvlText w:val="-"/>
      <w:lvlJc w:val="left"/>
      <w:pPr>
        <w:ind w:left="1429" w:hanging="360"/>
      </w:pPr>
      <w:rPr>
        <w:rFonts w:ascii="Courier" w:hAnsi="Courier" w:cs="Courier" w:hint="default"/>
        <w:color w:val="auto"/>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7" w15:restartNumberingAfterBreak="0">
    <w:nsid w:val="6E544B1C"/>
    <w:multiLevelType w:val="hybridMultilevel"/>
    <w:tmpl w:val="F19A58DE"/>
    <w:lvl w:ilvl="0" w:tplc="0402000B">
      <w:start w:val="1"/>
      <w:numFmt w:val="bullet"/>
      <w:lvlText w:val=""/>
      <w:lvlJc w:val="left"/>
      <w:pPr>
        <w:ind w:left="928" w:hanging="360"/>
      </w:pPr>
      <w:rPr>
        <w:rFonts w:ascii="Wingdings" w:hAnsi="Wingdings"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38" w15:restartNumberingAfterBreak="0">
    <w:nsid w:val="6F78209C"/>
    <w:multiLevelType w:val="hybridMultilevel"/>
    <w:tmpl w:val="5624217C"/>
    <w:lvl w:ilvl="0" w:tplc="CA968970">
      <w:start w:val="43"/>
      <w:numFmt w:val="bullet"/>
      <w:lvlText w:val="-"/>
      <w:lvlJc w:val="left"/>
      <w:pPr>
        <w:ind w:left="1429" w:hanging="360"/>
      </w:pPr>
      <w:rPr>
        <w:rFonts w:ascii="Times New Roman" w:eastAsia="Times New Roman" w:hAnsi="Times New Roman" w:cs="Times New Roman" w:hint="default"/>
      </w:rPr>
    </w:lvl>
    <w:lvl w:ilvl="1" w:tplc="04020003">
      <w:start w:val="1"/>
      <w:numFmt w:val="bullet"/>
      <w:lvlText w:val="o"/>
      <w:lvlJc w:val="left"/>
      <w:pPr>
        <w:ind w:left="2149" w:hanging="360"/>
      </w:pPr>
      <w:rPr>
        <w:rFonts w:ascii="Courier New" w:hAnsi="Courier New" w:cs="Courier New"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39" w15:restartNumberingAfterBreak="0">
    <w:nsid w:val="703E479F"/>
    <w:multiLevelType w:val="multilevel"/>
    <w:tmpl w:val="FDE86A66"/>
    <w:lvl w:ilvl="0">
      <w:start w:val="1"/>
      <w:numFmt w:val="decimal"/>
      <w:lvlText w:val="%1."/>
      <w:lvlJc w:val="left"/>
      <w:pPr>
        <w:tabs>
          <w:tab w:val="num" w:pos="532"/>
        </w:tabs>
        <w:ind w:left="532" w:hanging="39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40" w15:restartNumberingAfterBreak="0">
    <w:nsid w:val="71812127"/>
    <w:multiLevelType w:val="multilevel"/>
    <w:tmpl w:val="FDE86A66"/>
    <w:lvl w:ilvl="0">
      <w:start w:val="1"/>
      <w:numFmt w:val="decimal"/>
      <w:lvlText w:val="%1."/>
      <w:lvlJc w:val="left"/>
      <w:pPr>
        <w:tabs>
          <w:tab w:val="num" w:pos="532"/>
        </w:tabs>
        <w:ind w:left="532" w:hanging="39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41" w15:restartNumberingAfterBreak="0">
    <w:nsid w:val="79D837F9"/>
    <w:multiLevelType w:val="hybridMultilevel"/>
    <w:tmpl w:val="21AA00B6"/>
    <w:lvl w:ilvl="0" w:tplc="3B28C328">
      <w:start w:val="1"/>
      <w:numFmt w:val="bullet"/>
      <w:lvlText w:val="♦"/>
      <w:lvlJc w:val="left"/>
      <w:pPr>
        <w:tabs>
          <w:tab w:val="num" w:pos="2880"/>
        </w:tabs>
        <w:ind w:left="2880" w:hanging="360"/>
      </w:pPr>
      <w:rPr>
        <w:rFonts w:ascii="Courier New" w:hAnsi="Courier New" w:hint="default"/>
        <w:sz w:val="24"/>
        <w:szCs w:val="24"/>
      </w:rPr>
    </w:lvl>
    <w:lvl w:ilvl="1" w:tplc="72E4233E">
      <w:start w:val="1"/>
      <w:numFmt w:val="bullet"/>
      <w:lvlText w:val=""/>
      <w:lvlJc w:val="left"/>
      <w:pPr>
        <w:tabs>
          <w:tab w:val="num" w:pos="2160"/>
        </w:tabs>
        <w:ind w:left="2160" w:hanging="360"/>
      </w:pPr>
      <w:rPr>
        <w:rFonts w:ascii="Symbol" w:hAnsi="Symbol" w:hint="default"/>
        <w:sz w:val="24"/>
        <w:szCs w:val="24"/>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9F336A1"/>
    <w:multiLevelType w:val="hybridMultilevel"/>
    <w:tmpl w:val="AF282760"/>
    <w:lvl w:ilvl="0" w:tplc="17CA124E">
      <w:start w:val="1"/>
      <w:numFmt w:val="bullet"/>
      <w:lvlText w:val=""/>
      <w:lvlJc w:val="left"/>
      <w:pPr>
        <w:ind w:left="786"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33"/>
  </w:num>
  <w:num w:numId="4">
    <w:abstractNumId w:val="10"/>
  </w:num>
  <w:num w:numId="5">
    <w:abstractNumId w:val="23"/>
  </w:num>
  <w:num w:numId="6">
    <w:abstractNumId w:val="29"/>
  </w:num>
  <w:num w:numId="7">
    <w:abstractNumId w:val="19"/>
  </w:num>
  <w:num w:numId="8">
    <w:abstractNumId w:val="40"/>
  </w:num>
  <w:num w:numId="9">
    <w:abstractNumId w:val="31"/>
  </w:num>
  <w:num w:numId="10">
    <w:abstractNumId w:val="28"/>
  </w:num>
  <w:num w:numId="11">
    <w:abstractNumId w:val="41"/>
  </w:num>
  <w:num w:numId="12">
    <w:abstractNumId w:val="34"/>
  </w:num>
  <w:num w:numId="13">
    <w:abstractNumId w:val="17"/>
  </w:num>
  <w:num w:numId="14">
    <w:abstractNumId w:val="5"/>
  </w:num>
  <w:num w:numId="15">
    <w:abstractNumId w:val="6"/>
  </w:num>
  <w:num w:numId="16">
    <w:abstractNumId w:val="18"/>
  </w:num>
  <w:num w:numId="17">
    <w:abstractNumId w:val="25"/>
  </w:num>
  <w:num w:numId="18">
    <w:abstractNumId w:val="37"/>
  </w:num>
  <w:num w:numId="19">
    <w:abstractNumId w:val="26"/>
  </w:num>
  <w:num w:numId="20">
    <w:abstractNumId w:val="1"/>
  </w:num>
  <w:num w:numId="21">
    <w:abstractNumId w:val="4"/>
  </w:num>
  <w:num w:numId="22">
    <w:abstractNumId w:val="13"/>
  </w:num>
  <w:num w:numId="23">
    <w:abstractNumId w:val="27"/>
  </w:num>
  <w:num w:numId="24">
    <w:abstractNumId w:val="42"/>
  </w:num>
  <w:num w:numId="25">
    <w:abstractNumId w:val="3"/>
  </w:num>
  <w:num w:numId="26">
    <w:abstractNumId w:val="12"/>
  </w:num>
  <w:num w:numId="27">
    <w:abstractNumId w:val="22"/>
  </w:num>
  <w:num w:numId="28">
    <w:abstractNumId w:val="0"/>
  </w:num>
  <w:num w:numId="29">
    <w:abstractNumId w:val="8"/>
  </w:num>
  <w:num w:numId="30">
    <w:abstractNumId w:val="30"/>
  </w:num>
  <w:num w:numId="31">
    <w:abstractNumId w:val="35"/>
  </w:num>
  <w:num w:numId="32">
    <w:abstractNumId w:val="11"/>
  </w:num>
  <w:num w:numId="33">
    <w:abstractNumId w:val="32"/>
  </w:num>
  <w:num w:numId="34">
    <w:abstractNumId w:val="36"/>
  </w:num>
  <w:num w:numId="35">
    <w:abstractNumId w:val="21"/>
  </w:num>
  <w:num w:numId="36">
    <w:abstractNumId w:val="24"/>
  </w:num>
  <w:num w:numId="37">
    <w:abstractNumId w:val="39"/>
  </w:num>
  <w:num w:numId="38">
    <w:abstractNumId w:val="14"/>
  </w:num>
  <w:num w:numId="39">
    <w:abstractNumId w:val="9"/>
  </w:num>
  <w:num w:numId="40">
    <w:abstractNumId w:val="20"/>
  </w:num>
  <w:num w:numId="41">
    <w:abstractNumId w:val="15"/>
  </w:num>
  <w:num w:numId="42">
    <w:abstractNumId w:val="38"/>
  </w:num>
  <w:num w:numId="43">
    <w:abstractNumId w:val="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E15"/>
    <w:rsid w:val="00000EF0"/>
    <w:rsid w:val="00000FE1"/>
    <w:rsid w:val="000010D2"/>
    <w:rsid w:val="00001580"/>
    <w:rsid w:val="000016BE"/>
    <w:rsid w:val="00001ABF"/>
    <w:rsid w:val="00001CF0"/>
    <w:rsid w:val="00002BD7"/>
    <w:rsid w:val="00002D9C"/>
    <w:rsid w:val="00003489"/>
    <w:rsid w:val="00003B52"/>
    <w:rsid w:val="00004264"/>
    <w:rsid w:val="00004788"/>
    <w:rsid w:val="00005544"/>
    <w:rsid w:val="00005A85"/>
    <w:rsid w:val="000063FC"/>
    <w:rsid w:val="000065C6"/>
    <w:rsid w:val="0000691E"/>
    <w:rsid w:val="00006956"/>
    <w:rsid w:val="00006A56"/>
    <w:rsid w:val="00006EBC"/>
    <w:rsid w:val="00007F94"/>
    <w:rsid w:val="000111D3"/>
    <w:rsid w:val="00011383"/>
    <w:rsid w:val="000119C6"/>
    <w:rsid w:val="000122E0"/>
    <w:rsid w:val="00012431"/>
    <w:rsid w:val="00012533"/>
    <w:rsid w:val="000126AC"/>
    <w:rsid w:val="0001276F"/>
    <w:rsid w:val="00012AE6"/>
    <w:rsid w:val="00012C07"/>
    <w:rsid w:val="0001332F"/>
    <w:rsid w:val="00013357"/>
    <w:rsid w:val="0001356B"/>
    <w:rsid w:val="00013677"/>
    <w:rsid w:val="00013B93"/>
    <w:rsid w:val="00013C59"/>
    <w:rsid w:val="00014355"/>
    <w:rsid w:val="000146EA"/>
    <w:rsid w:val="000158A2"/>
    <w:rsid w:val="00015C0F"/>
    <w:rsid w:val="00015D5B"/>
    <w:rsid w:val="0001664B"/>
    <w:rsid w:val="00017412"/>
    <w:rsid w:val="000175C7"/>
    <w:rsid w:val="000178CA"/>
    <w:rsid w:val="00017EA1"/>
    <w:rsid w:val="0002050E"/>
    <w:rsid w:val="000215BD"/>
    <w:rsid w:val="00021A5F"/>
    <w:rsid w:val="000221B7"/>
    <w:rsid w:val="00022856"/>
    <w:rsid w:val="000229E1"/>
    <w:rsid w:val="00022CAC"/>
    <w:rsid w:val="00022D9E"/>
    <w:rsid w:val="00023244"/>
    <w:rsid w:val="0002351F"/>
    <w:rsid w:val="00023BF6"/>
    <w:rsid w:val="00023D31"/>
    <w:rsid w:val="00024065"/>
    <w:rsid w:val="0002444B"/>
    <w:rsid w:val="0002477E"/>
    <w:rsid w:val="0002478B"/>
    <w:rsid w:val="000249B9"/>
    <w:rsid w:val="000252F3"/>
    <w:rsid w:val="000256B4"/>
    <w:rsid w:val="00025953"/>
    <w:rsid w:val="000259F6"/>
    <w:rsid w:val="00025F45"/>
    <w:rsid w:val="000262DF"/>
    <w:rsid w:val="00026903"/>
    <w:rsid w:val="0002693A"/>
    <w:rsid w:val="00026AD5"/>
    <w:rsid w:val="00027951"/>
    <w:rsid w:val="00027B74"/>
    <w:rsid w:val="00030353"/>
    <w:rsid w:val="00030658"/>
    <w:rsid w:val="000307D3"/>
    <w:rsid w:val="000311EA"/>
    <w:rsid w:val="00031377"/>
    <w:rsid w:val="00031593"/>
    <w:rsid w:val="00031710"/>
    <w:rsid w:val="000319CB"/>
    <w:rsid w:val="000320C8"/>
    <w:rsid w:val="00032966"/>
    <w:rsid w:val="00032B7F"/>
    <w:rsid w:val="00033525"/>
    <w:rsid w:val="00033590"/>
    <w:rsid w:val="00033ACB"/>
    <w:rsid w:val="000340ED"/>
    <w:rsid w:val="00034135"/>
    <w:rsid w:val="00034396"/>
    <w:rsid w:val="00034FE3"/>
    <w:rsid w:val="0003586B"/>
    <w:rsid w:val="000359FA"/>
    <w:rsid w:val="0003621F"/>
    <w:rsid w:val="000363A8"/>
    <w:rsid w:val="0003685F"/>
    <w:rsid w:val="000369D6"/>
    <w:rsid w:val="00036A1B"/>
    <w:rsid w:val="00037141"/>
    <w:rsid w:val="000377BC"/>
    <w:rsid w:val="000378DC"/>
    <w:rsid w:val="0003798B"/>
    <w:rsid w:val="00040164"/>
    <w:rsid w:val="000406B2"/>
    <w:rsid w:val="0004080C"/>
    <w:rsid w:val="0004098D"/>
    <w:rsid w:val="00040C20"/>
    <w:rsid w:val="000411D9"/>
    <w:rsid w:val="00041338"/>
    <w:rsid w:val="00042634"/>
    <w:rsid w:val="00042853"/>
    <w:rsid w:val="00042C9E"/>
    <w:rsid w:val="00042E57"/>
    <w:rsid w:val="0004338F"/>
    <w:rsid w:val="000436DD"/>
    <w:rsid w:val="000439F5"/>
    <w:rsid w:val="00043AA0"/>
    <w:rsid w:val="00043AB2"/>
    <w:rsid w:val="00043E35"/>
    <w:rsid w:val="00043E3A"/>
    <w:rsid w:val="00044147"/>
    <w:rsid w:val="00044187"/>
    <w:rsid w:val="0004426E"/>
    <w:rsid w:val="00044273"/>
    <w:rsid w:val="0004481C"/>
    <w:rsid w:val="00045116"/>
    <w:rsid w:val="0004521E"/>
    <w:rsid w:val="0004559E"/>
    <w:rsid w:val="00045688"/>
    <w:rsid w:val="000458F0"/>
    <w:rsid w:val="00045B4C"/>
    <w:rsid w:val="000465FC"/>
    <w:rsid w:val="0004753C"/>
    <w:rsid w:val="000500CE"/>
    <w:rsid w:val="000504F4"/>
    <w:rsid w:val="0005066A"/>
    <w:rsid w:val="00050A1B"/>
    <w:rsid w:val="00051D05"/>
    <w:rsid w:val="00051E5E"/>
    <w:rsid w:val="00052449"/>
    <w:rsid w:val="00052485"/>
    <w:rsid w:val="0005284D"/>
    <w:rsid w:val="00052B23"/>
    <w:rsid w:val="00052C5C"/>
    <w:rsid w:val="00053B0F"/>
    <w:rsid w:val="00053C71"/>
    <w:rsid w:val="00053D51"/>
    <w:rsid w:val="00054555"/>
    <w:rsid w:val="000546BF"/>
    <w:rsid w:val="000548B8"/>
    <w:rsid w:val="00054CE2"/>
    <w:rsid w:val="00054E02"/>
    <w:rsid w:val="00055007"/>
    <w:rsid w:val="000551E4"/>
    <w:rsid w:val="00055A61"/>
    <w:rsid w:val="00055DD1"/>
    <w:rsid w:val="00055DF0"/>
    <w:rsid w:val="000561EA"/>
    <w:rsid w:val="00056221"/>
    <w:rsid w:val="00056B58"/>
    <w:rsid w:val="00056D9D"/>
    <w:rsid w:val="00056EF0"/>
    <w:rsid w:val="0005737D"/>
    <w:rsid w:val="0005756A"/>
    <w:rsid w:val="00057886"/>
    <w:rsid w:val="00060A02"/>
    <w:rsid w:val="00060B42"/>
    <w:rsid w:val="000613BA"/>
    <w:rsid w:val="0006166E"/>
    <w:rsid w:val="00061758"/>
    <w:rsid w:val="000621DE"/>
    <w:rsid w:val="00062315"/>
    <w:rsid w:val="00062A61"/>
    <w:rsid w:val="00062A78"/>
    <w:rsid w:val="00063093"/>
    <w:rsid w:val="00063235"/>
    <w:rsid w:val="00063248"/>
    <w:rsid w:val="00063C56"/>
    <w:rsid w:val="00063CF1"/>
    <w:rsid w:val="00063E15"/>
    <w:rsid w:val="000642B9"/>
    <w:rsid w:val="0006432D"/>
    <w:rsid w:val="00064472"/>
    <w:rsid w:val="0006477A"/>
    <w:rsid w:val="00064AF3"/>
    <w:rsid w:val="00064C44"/>
    <w:rsid w:val="00064E39"/>
    <w:rsid w:val="00064F71"/>
    <w:rsid w:val="0006584F"/>
    <w:rsid w:val="00065A46"/>
    <w:rsid w:val="00065DF8"/>
    <w:rsid w:val="000663D1"/>
    <w:rsid w:val="000666C0"/>
    <w:rsid w:val="000669D8"/>
    <w:rsid w:val="00066EED"/>
    <w:rsid w:val="00067283"/>
    <w:rsid w:val="00067469"/>
    <w:rsid w:val="0006785C"/>
    <w:rsid w:val="0007007C"/>
    <w:rsid w:val="0007047E"/>
    <w:rsid w:val="000709C1"/>
    <w:rsid w:val="00070A97"/>
    <w:rsid w:val="00071C3B"/>
    <w:rsid w:val="00071F12"/>
    <w:rsid w:val="0007251B"/>
    <w:rsid w:val="00072C4F"/>
    <w:rsid w:val="00072D22"/>
    <w:rsid w:val="00073108"/>
    <w:rsid w:val="00073DF5"/>
    <w:rsid w:val="00074744"/>
    <w:rsid w:val="00074B7D"/>
    <w:rsid w:val="000751C1"/>
    <w:rsid w:val="00075256"/>
    <w:rsid w:val="0007526B"/>
    <w:rsid w:val="000756FB"/>
    <w:rsid w:val="000768B3"/>
    <w:rsid w:val="00076B59"/>
    <w:rsid w:val="000801C8"/>
    <w:rsid w:val="00080AB2"/>
    <w:rsid w:val="00080EF5"/>
    <w:rsid w:val="0008155D"/>
    <w:rsid w:val="0008165A"/>
    <w:rsid w:val="000819F9"/>
    <w:rsid w:val="00081AFD"/>
    <w:rsid w:val="00082392"/>
    <w:rsid w:val="00082679"/>
    <w:rsid w:val="000827A4"/>
    <w:rsid w:val="000829EB"/>
    <w:rsid w:val="00082BD9"/>
    <w:rsid w:val="00082F40"/>
    <w:rsid w:val="0008327E"/>
    <w:rsid w:val="000832E5"/>
    <w:rsid w:val="000833A2"/>
    <w:rsid w:val="0008357F"/>
    <w:rsid w:val="000853B1"/>
    <w:rsid w:val="00085704"/>
    <w:rsid w:val="00085715"/>
    <w:rsid w:val="00085734"/>
    <w:rsid w:val="00085B96"/>
    <w:rsid w:val="00085E01"/>
    <w:rsid w:val="00085E1A"/>
    <w:rsid w:val="00086A8E"/>
    <w:rsid w:val="00086FA7"/>
    <w:rsid w:val="00087295"/>
    <w:rsid w:val="0008745A"/>
    <w:rsid w:val="000878C4"/>
    <w:rsid w:val="00087924"/>
    <w:rsid w:val="00087ED6"/>
    <w:rsid w:val="0009002F"/>
    <w:rsid w:val="000900E3"/>
    <w:rsid w:val="000901EA"/>
    <w:rsid w:val="000902B5"/>
    <w:rsid w:val="00090536"/>
    <w:rsid w:val="00090D1D"/>
    <w:rsid w:val="00091196"/>
    <w:rsid w:val="00091BAB"/>
    <w:rsid w:val="00091BCE"/>
    <w:rsid w:val="000931C8"/>
    <w:rsid w:val="000937AB"/>
    <w:rsid w:val="000937E0"/>
    <w:rsid w:val="00093CFC"/>
    <w:rsid w:val="00093F6F"/>
    <w:rsid w:val="000943E4"/>
    <w:rsid w:val="000949D3"/>
    <w:rsid w:val="00094A6C"/>
    <w:rsid w:val="00094A78"/>
    <w:rsid w:val="00095164"/>
    <w:rsid w:val="0009519B"/>
    <w:rsid w:val="000959DC"/>
    <w:rsid w:val="00095CA2"/>
    <w:rsid w:val="00095EF0"/>
    <w:rsid w:val="0009649D"/>
    <w:rsid w:val="0009743A"/>
    <w:rsid w:val="000979B5"/>
    <w:rsid w:val="00097C52"/>
    <w:rsid w:val="000A052A"/>
    <w:rsid w:val="000A09BA"/>
    <w:rsid w:val="000A10E1"/>
    <w:rsid w:val="000A301B"/>
    <w:rsid w:val="000A3426"/>
    <w:rsid w:val="000A3F57"/>
    <w:rsid w:val="000A4432"/>
    <w:rsid w:val="000A5B32"/>
    <w:rsid w:val="000A6E4D"/>
    <w:rsid w:val="000A7446"/>
    <w:rsid w:val="000A7841"/>
    <w:rsid w:val="000B0616"/>
    <w:rsid w:val="000B0815"/>
    <w:rsid w:val="000B09E5"/>
    <w:rsid w:val="000B0BED"/>
    <w:rsid w:val="000B0CE6"/>
    <w:rsid w:val="000B11FB"/>
    <w:rsid w:val="000B175F"/>
    <w:rsid w:val="000B1A24"/>
    <w:rsid w:val="000B1E59"/>
    <w:rsid w:val="000B25CC"/>
    <w:rsid w:val="000B2CBE"/>
    <w:rsid w:val="000B330C"/>
    <w:rsid w:val="000B4481"/>
    <w:rsid w:val="000B460F"/>
    <w:rsid w:val="000B474D"/>
    <w:rsid w:val="000B49EE"/>
    <w:rsid w:val="000B511E"/>
    <w:rsid w:val="000B5123"/>
    <w:rsid w:val="000B52FA"/>
    <w:rsid w:val="000B5F1E"/>
    <w:rsid w:val="000B62C7"/>
    <w:rsid w:val="000B64BA"/>
    <w:rsid w:val="000B67EA"/>
    <w:rsid w:val="000B6D3A"/>
    <w:rsid w:val="000B7234"/>
    <w:rsid w:val="000B7447"/>
    <w:rsid w:val="000B75C1"/>
    <w:rsid w:val="000B7C4F"/>
    <w:rsid w:val="000B7E66"/>
    <w:rsid w:val="000C019B"/>
    <w:rsid w:val="000C06FE"/>
    <w:rsid w:val="000C0A44"/>
    <w:rsid w:val="000C0E2B"/>
    <w:rsid w:val="000C0FA1"/>
    <w:rsid w:val="000C13A5"/>
    <w:rsid w:val="000C244E"/>
    <w:rsid w:val="000C2FAC"/>
    <w:rsid w:val="000C3451"/>
    <w:rsid w:val="000C3D73"/>
    <w:rsid w:val="000C4760"/>
    <w:rsid w:val="000C4CBB"/>
    <w:rsid w:val="000C56B9"/>
    <w:rsid w:val="000C5ACF"/>
    <w:rsid w:val="000C5C6D"/>
    <w:rsid w:val="000C6079"/>
    <w:rsid w:val="000C6742"/>
    <w:rsid w:val="000C69AE"/>
    <w:rsid w:val="000C6CB5"/>
    <w:rsid w:val="000C6CF3"/>
    <w:rsid w:val="000C6EFE"/>
    <w:rsid w:val="000C72DC"/>
    <w:rsid w:val="000C7303"/>
    <w:rsid w:val="000C736E"/>
    <w:rsid w:val="000C75A5"/>
    <w:rsid w:val="000C75DD"/>
    <w:rsid w:val="000C773E"/>
    <w:rsid w:val="000C7BB6"/>
    <w:rsid w:val="000D01A6"/>
    <w:rsid w:val="000D0538"/>
    <w:rsid w:val="000D06A6"/>
    <w:rsid w:val="000D0AB1"/>
    <w:rsid w:val="000D0EA5"/>
    <w:rsid w:val="000D13E1"/>
    <w:rsid w:val="000D23F8"/>
    <w:rsid w:val="000D2516"/>
    <w:rsid w:val="000D26D5"/>
    <w:rsid w:val="000D2B33"/>
    <w:rsid w:val="000D2BE7"/>
    <w:rsid w:val="000D3407"/>
    <w:rsid w:val="000D3942"/>
    <w:rsid w:val="000D3FA7"/>
    <w:rsid w:val="000D4203"/>
    <w:rsid w:val="000D46FD"/>
    <w:rsid w:val="000D46FF"/>
    <w:rsid w:val="000D49F5"/>
    <w:rsid w:val="000D4BEB"/>
    <w:rsid w:val="000D4CF8"/>
    <w:rsid w:val="000D5449"/>
    <w:rsid w:val="000D5722"/>
    <w:rsid w:val="000D5EE2"/>
    <w:rsid w:val="000D6D92"/>
    <w:rsid w:val="000D725A"/>
    <w:rsid w:val="000D740D"/>
    <w:rsid w:val="000D78E4"/>
    <w:rsid w:val="000D7B46"/>
    <w:rsid w:val="000E0B42"/>
    <w:rsid w:val="000E0EBA"/>
    <w:rsid w:val="000E0EE9"/>
    <w:rsid w:val="000E1529"/>
    <w:rsid w:val="000E1EAF"/>
    <w:rsid w:val="000E1FB5"/>
    <w:rsid w:val="000E2207"/>
    <w:rsid w:val="000E234B"/>
    <w:rsid w:val="000E2869"/>
    <w:rsid w:val="000E2894"/>
    <w:rsid w:val="000E2B21"/>
    <w:rsid w:val="000E2BF2"/>
    <w:rsid w:val="000E39DF"/>
    <w:rsid w:val="000E3BA7"/>
    <w:rsid w:val="000E3CDC"/>
    <w:rsid w:val="000E3DA0"/>
    <w:rsid w:val="000E4599"/>
    <w:rsid w:val="000E4CFE"/>
    <w:rsid w:val="000E4EB4"/>
    <w:rsid w:val="000E5205"/>
    <w:rsid w:val="000E5295"/>
    <w:rsid w:val="000E5483"/>
    <w:rsid w:val="000E5EE9"/>
    <w:rsid w:val="000E632B"/>
    <w:rsid w:val="000E6968"/>
    <w:rsid w:val="000E69D1"/>
    <w:rsid w:val="000E76B3"/>
    <w:rsid w:val="000E773D"/>
    <w:rsid w:val="000F04F4"/>
    <w:rsid w:val="000F0BD7"/>
    <w:rsid w:val="000F1488"/>
    <w:rsid w:val="000F1EB1"/>
    <w:rsid w:val="000F26DE"/>
    <w:rsid w:val="000F32E9"/>
    <w:rsid w:val="000F3534"/>
    <w:rsid w:val="000F3A6E"/>
    <w:rsid w:val="000F3CB4"/>
    <w:rsid w:val="000F3EA1"/>
    <w:rsid w:val="000F4571"/>
    <w:rsid w:val="000F47A8"/>
    <w:rsid w:val="000F4AE4"/>
    <w:rsid w:val="000F4DCA"/>
    <w:rsid w:val="000F5080"/>
    <w:rsid w:val="000F57CC"/>
    <w:rsid w:val="000F5EC6"/>
    <w:rsid w:val="000F5EF4"/>
    <w:rsid w:val="000F5F76"/>
    <w:rsid w:val="000F68AF"/>
    <w:rsid w:val="000F6975"/>
    <w:rsid w:val="000F6B35"/>
    <w:rsid w:val="0010026D"/>
    <w:rsid w:val="0010055E"/>
    <w:rsid w:val="001006E1"/>
    <w:rsid w:val="00100931"/>
    <w:rsid w:val="00100CE5"/>
    <w:rsid w:val="00100D97"/>
    <w:rsid w:val="001011A4"/>
    <w:rsid w:val="00101301"/>
    <w:rsid w:val="001017B7"/>
    <w:rsid w:val="00101B1C"/>
    <w:rsid w:val="00101D61"/>
    <w:rsid w:val="0010212B"/>
    <w:rsid w:val="00102523"/>
    <w:rsid w:val="0010261A"/>
    <w:rsid w:val="00102869"/>
    <w:rsid w:val="001028F7"/>
    <w:rsid w:val="00102BA6"/>
    <w:rsid w:val="0010358B"/>
    <w:rsid w:val="00103BC3"/>
    <w:rsid w:val="0010424C"/>
    <w:rsid w:val="00104331"/>
    <w:rsid w:val="001046B0"/>
    <w:rsid w:val="00104BB5"/>
    <w:rsid w:val="00104ED0"/>
    <w:rsid w:val="0010539A"/>
    <w:rsid w:val="001053A6"/>
    <w:rsid w:val="00105B38"/>
    <w:rsid w:val="00106009"/>
    <w:rsid w:val="00106081"/>
    <w:rsid w:val="001060C0"/>
    <w:rsid w:val="0010649F"/>
    <w:rsid w:val="0010683E"/>
    <w:rsid w:val="00106E64"/>
    <w:rsid w:val="00107065"/>
    <w:rsid w:val="00107258"/>
    <w:rsid w:val="0010743D"/>
    <w:rsid w:val="00107498"/>
    <w:rsid w:val="001077FA"/>
    <w:rsid w:val="00107A38"/>
    <w:rsid w:val="00107C9F"/>
    <w:rsid w:val="00107F93"/>
    <w:rsid w:val="00110E74"/>
    <w:rsid w:val="0011137B"/>
    <w:rsid w:val="0011244D"/>
    <w:rsid w:val="00112882"/>
    <w:rsid w:val="00112CAC"/>
    <w:rsid w:val="00112E96"/>
    <w:rsid w:val="00113FD8"/>
    <w:rsid w:val="00114D25"/>
    <w:rsid w:val="00114D27"/>
    <w:rsid w:val="00114DE5"/>
    <w:rsid w:val="0011515C"/>
    <w:rsid w:val="00116AF1"/>
    <w:rsid w:val="00116D77"/>
    <w:rsid w:val="001173BA"/>
    <w:rsid w:val="001179C1"/>
    <w:rsid w:val="00117A49"/>
    <w:rsid w:val="00117C68"/>
    <w:rsid w:val="00117CA6"/>
    <w:rsid w:val="001202E6"/>
    <w:rsid w:val="00120BC1"/>
    <w:rsid w:val="00120CC7"/>
    <w:rsid w:val="00120DB2"/>
    <w:rsid w:val="00121946"/>
    <w:rsid w:val="00122BBB"/>
    <w:rsid w:val="00122F3A"/>
    <w:rsid w:val="00122FCA"/>
    <w:rsid w:val="00123862"/>
    <w:rsid w:val="00123B59"/>
    <w:rsid w:val="00123CED"/>
    <w:rsid w:val="00123E2A"/>
    <w:rsid w:val="00124548"/>
    <w:rsid w:val="00124777"/>
    <w:rsid w:val="00124FAC"/>
    <w:rsid w:val="00124FB9"/>
    <w:rsid w:val="00125B7A"/>
    <w:rsid w:val="00125CD6"/>
    <w:rsid w:val="001260AA"/>
    <w:rsid w:val="001264C3"/>
    <w:rsid w:val="00126707"/>
    <w:rsid w:val="00126805"/>
    <w:rsid w:val="001269AE"/>
    <w:rsid w:val="00127D25"/>
    <w:rsid w:val="001301B6"/>
    <w:rsid w:val="001305A6"/>
    <w:rsid w:val="00131B05"/>
    <w:rsid w:val="00131C51"/>
    <w:rsid w:val="00132423"/>
    <w:rsid w:val="00132AD1"/>
    <w:rsid w:val="00132CE0"/>
    <w:rsid w:val="00132ECD"/>
    <w:rsid w:val="00133013"/>
    <w:rsid w:val="00133033"/>
    <w:rsid w:val="0013308F"/>
    <w:rsid w:val="00133183"/>
    <w:rsid w:val="00133478"/>
    <w:rsid w:val="00133644"/>
    <w:rsid w:val="001342F2"/>
    <w:rsid w:val="0013522E"/>
    <w:rsid w:val="0013588C"/>
    <w:rsid w:val="00135A23"/>
    <w:rsid w:val="00135E92"/>
    <w:rsid w:val="001366E5"/>
    <w:rsid w:val="00136893"/>
    <w:rsid w:val="00136C08"/>
    <w:rsid w:val="00136DA4"/>
    <w:rsid w:val="001371FA"/>
    <w:rsid w:val="0013776C"/>
    <w:rsid w:val="001400F3"/>
    <w:rsid w:val="00140F18"/>
    <w:rsid w:val="00140F61"/>
    <w:rsid w:val="0014108F"/>
    <w:rsid w:val="00141B03"/>
    <w:rsid w:val="001423F5"/>
    <w:rsid w:val="00142979"/>
    <w:rsid w:val="00142ABD"/>
    <w:rsid w:val="00142EDB"/>
    <w:rsid w:val="00142FD3"/>
    <w:rsid w:val="00143002"/>
    <w:rsid w:val="001434EA"/>
    <w:rsid w:val="00143814"/>
    <w:rsid w:val="001445AC"/>
    <w:rsid w:val="00144B67"/>
    <w:rsid w:val="00144BF2"/>
    <w:rsid w:val="0014585D"/>
    <w:rsid w:val="00145944"/>
    <w:rsid w:val="00145AD1"/>
    <w:rsid w:val="001462A0"/>
    <w:rsid w:val="00146314"/>
    <w:rsid w:val="001466F3"/>
    <w:rsid w:val="00146C11"/>
    <w:rsid w:val="00147195"/>
    <w:rsid w:val="00147250"/>
    <w:rsid w:val="0015009D"/>
    <w:rsid w:val="00150706"/>
    <w:rsid w:val="00150793"/>
    <w:rsid w:val="00150D38"/>
    <w:rsid w:val="00151260"/>
    <w:rsid w:val="001514CB"/>
    <w:rsid w:val="00151757"/>
    <w:rsid w:val="00152672"/>
    <w:rsid w:val="001528EE"/>
    <w:rsid w:val="00152B9C"/>
    <w:rsid w:val="00153077"/>
    <w:rsid w:val="001535F3"/>
    <w:rsid w:val="00153CA6"/>
    <w:rsid w:val="00153DF3"/>
    <w:rsid w:val="00154247"/>
    <w:rsid w:val="001543D7"/>
    <w:rsid w:val="00154B29"/>
    <w:rsid w:val="00154DE5"/>
    <w:rsid w:val="00154FA1"/>
    <w:rsid w:val="00155948"/>
    <w:rsid w:val="00155B06"/>
    <w:rsid w:val="00156356"/>
    <w:rsid w:val="00156A3B"/>
    <w:rsid w:val="00156B18"/>
    <w:rsid w:val="00156F40"/>
    <w:rsid w:val="00157673"/>
    <w:rsid w:val="00157743"/>
    <w:rsid w:val="00157B70"/>
    <w:rsid w:val="00157EC4"/>
    <w:rsid w:val="00157EF5"/>
    <w:rsid w:val="0016023C"/>
    <w:rsid w:val="001606A4"/>
    <w:rsid w:val="00160A10"/>
    <w:rsid w:val="00160C5B"/>
    <w:rsid w:val="00160EC6"/>
    <w:rsid w:val="0016116C"/>
    <w:rsid w:val="0016122A"/>
    <w:rsid w:val="0016140B"/>
    <w:rsid w:val="0016194D"/>
    <w:rsid w:val="00161F90"/>
    <w:rsid w:val="001623A2"/>
    <w:rsid w:val="00162F68"/>
    <w:rsid w:val="00163645"/>
    <w:rsid w:val="00164220"/>
    <w:rsid w:val="001643F8"/>
    <w:rsid w:val="0016452C"/>
    <w:rsid w:val="001647E9"/>
    <w:rsid w:val="00164961"/>
    <w:rsid w:val="00164FAD"/>
    <w:rsid w:val="0016560A"/>
    <w:rsid w:val="00165DB5"/>
    <w:rsid w:val="00165FF0"/>
    <w:rsid w:val="00166023"/>
    <w:rsid w:val="001662FB"/>
    <w:rsid w:val="001663F9"/>
    <w:rsid w:val="001668BD"/>
    <w:rsid w:val="001671E2"/>
    <w:rsid w:val="0017086C"/>
    <w:rsid w:val="00170EFE"/>
    <w:rsid w:val="00171333"/>
    <w:rsid w:val="00171F8E"/>
    <w:rsid w:val="0017216E"/>
    <w:rsid w:val="001721EA"/>
    <w:rsid w:val="0017261A"/>
    <w:rsid w:val="0017293F"/>
    <w:rsid w:val="001729BB"/>
    <w:rsid w:val="00172AEE"/>
    <w:rsid w:val="00173987"/>
    <w:rsid w:val="00173C2D"/>
    <w:rsid w:val="00174441"/>
    <w:rsid w:val="0017483F"/>
    <w:rsid w:val="00174C24"/>
    <w:rsid w:val="0017545F"/>
    <w:rsid w:val="00175494"/>
    <w:rsid w:val="00175539"/>
    <w:rsid w:val="00175890"/>
    <w:rsid w:val="00175A73"/>
    <w:rsid w:val="00175E50"/>
    <w:rsid w:val="00176340"/>
    <w:rsid w:val="00176403"/>
    <w:rsid w:val="00176AE7"/>
    <w:rsid w:val="00176CB6"/>
    <w:rsid w:val="00176E98"/>
    <w:rsid w:val="00177307"/>
    <w:rsid w:val="00180811"/>
    <w:rsid w:val="001808E6"/>
    <w:rsid w:val="00180AEF"/>
    <w:rsid w:val="0018154E"/>
    <w:rsid w:val="00181857"/>
    <w:rsid w:val="00181E4B"/>
    <w:rsid w:val="00181FCA"/>
    <w:rsid w:val="001820C4"/>
    <w:rsid w:val="001824F0"/>
    <w:rsid w:val="001827BB"/>
    <w:rsid w:val="00182A2B"/>
    <w:rsid w:val="00182A94"/>
    <w:rsid w:val="00182C1A"/>
    <w:rsid w:val="00182D63"/>
    <w:rsid w:val="00182F27"/>
    <w:rsid w:val="00183392"/>
    <w:rsid w:val="0018398A"/>
    <w:rsid w:val="00183D5F"/>
    <w:rsid w:val="00183EA5"/>
    <w:rsid w:val="00183FAF"/>
    <w:rsid w:val="00184091"/>
    <w:rsid w:val="00184502"/>
    <w:rsid w:val="0018452B"/>
    <w:rsid w:val="001845D5"/>
    <w:rsid w:val="001846D1"/>
    <w:rsid w:val="00184DF2"/>
    <w:rsid w:val="001850C5"/>
    <w:rsid w:val="0018526D"/>
    <w:rsid w:val="001858CD"/>
    <w:rsid w:val="001859FA"/>
    <w:rsid w:val="00185A12"/>
    <w:rsid w:val="00185BF6"/>
    <w:rsid w:val="00185D08"/>
    <w:rsid w:val="001864AF"/>
    <w:rsid w:val="00186536"/>
    <w:rsid w:val="001869BB"/>
    <w:rsid w:val="00186C81"/>
    <w:rsid w:val="00186DF9"/>
    <w:rsid w:val="00187AC9"/>
    <w:rsid w:val="00187C31"/>
    <w:rsid w:val="00190983"/>
    <w:rsid w:val="0019151C"/>
    <w:rsid w:val="00191AA6"/>
    <w:rsid w:val="00191AB6"/>
    <w:rsid w:val="00191B55"/>
    <w:rsid w:val="00191EC8"/>
    <w:rsid w:val="00191F79"/>
    <w:rsid w:val="0019213B"/>
    <w:rsid w:val="0019232E"/>
    <w:rsid w:val="0019239F"/>
    <w:rsid w:val="001924F6"/>
    <w:rsid w:val="00192CDB"/>
    <w:rsid w:val="00192F6E"/>
    <w:rsid w:val="00193D9B"/>
    <w:rsid w:val="00193F20"/>
    <w:rsid w:val="0019413C"/>
    <w:rsid w:val="001941E4"/>
    <w:rsid w:val="00194AF7"/>
    <w:rsid w:val="00194C1F"/>
    <w:rsid w:val="00194DAF"/>
    <w:rsid w:val="001953AC"/>
    <w:rsid w:val="00195517"/>
    <w:rsid w:val="00195B15"/>
    <w:rsid w:val="00195BE8"/>
    <w:rsid w:val="00195CF2"/>
    <w:rsid w:val="00195E11"/>
    <w:rsid w:val="00195F99"/>
    <w:rsid w:val="00195FB3"/>
    <w:rsid w:val="001965AA"/>
    <w:rsid w:val="0019667B"/>
    <w:rsid w:val="001968E4"/>
    <w:rsid w:val="001971AE"/>
    <w:rsid w:val="00197278"/>
    <w:rsid w:val="00197392"/>
    <w:rsid w:val="00197764"/>
    <w:rsid w:val="00197EC3"/>
    <w:rsid w:val="00197FB1"/>
    <w:rsid w:val="001A0601"/>
    <w:rsid w:val="001A0BB0"/>
    <w:rsid w:val="001A1837"/>
    <w:rsid w:val="001A1C51"/>
    <w:rsid w:val="001A236F"/>
    <w:rsid w:val="001A28BA"/>
    <w:rsid w:val="001A3051"/>
    <w:rsid w:val="001A314B"/>
    <w:rsid w:val="001A3387"/>
    <w:rsid w:val="001A3398"/>
    <w:rsid w:val="001A4493"/>
    <w:rsid w:val="001A4589"/>
    <w:rsid w:val="001A5350"/>
    <w:rsid w:val="001A5398"/>
    <w:rsid w:val="001A5553"/>
    <w:rsid w:val="001A59AF"/>
    <w:rsid w:val="001A6777"/>
    <w:rsid w:val="001A6D21"/>
    <w:rsid w:val="001A718A"/>
    <w:rsid w:val="001A718F"/>
    <w:rsid w:val="001A75B9"/>
    <w:rsid w:val="001A7DC2"/>
    <w:rsid w:val="001B09A8"/>
    <w:rsid w:val="001B0A90"/>
    <w:rsid w:val="001B18C3"/>
    <w:rsid w:val="001B1C70"/>
    <w:rsid w:val="001B20E4"/>
    <w:rsid w:val="001B2D1F"/>
    <w:rsid w:val="001B2FCD"/>
    <w:rsid w:val="001B3285"/>
    <w:rsid w:val="001B370A"/>
    <w:rsid w:val="001B39DD"/>
    <w:rsid w:val="001B3BA9"/>
    <w:rsid w:val="001B3E1C"/>
    <w:rsid w:val="001B4165"/>
    <w:rsid w:val="001B427B"/>
    <w:rsid w:val="001B44DB"/>
    <w:rsid w:val="001B4640"/>
    <w:rsid w:val="001B56BB"/>
    <w:rsid w:val="001B5EA6"/>
    <w:rsid w:val="001B6203"/>
    <w:rsid w:val="001B7112"/>
    <w:rsid w:val="001B72FB"/>
    <w:rsid w:val="001C0277"/>
    <w:rsid w:val="001C0F05"/>
    <w:rsid w:val="001C110F"/>
    <w:rsid w:val="001C129D"/>
    <w:rsid w:val="001C15B0"/>
    <w:rsid w:val="001C1A52"/>
    <w:rsid w:val="001C239A"/>
    <w:rsid w:val="001C2554"/>
    <w:rsid w:val="001C2EE5"/>
    <w:rsid w:val="001C395A"/>
    <w:rsid w:val="001C3A25"/>
    <w:rsid w:val="001C486C"/>
    <w:rsid w:val="001C4AE1"/>
    <w:rsid w:val="001C4B35"/>
    <w:rsid w:val="001C4CCF"/>
    <w:rsid w:val="001C501A"/>
    <w:rsid w:val="001C5CC2"/>
    <w:rsid w:val="001C61DB"/>
    <w:rsid w:val="001C6573"/>
    <w:rsid w:val="001C6BA6"/>
    <w:rsid w:val="001C726D"/>
    <w:rsid w:val="001C78CA"/>
    <w:rsid w:val="001D01FB"/>
    <w:rsid w:val="001D0221"/>
    <w:rsid w:val="001D03BA"/>
    <w:rsid w:val="001D13AD"/>
    <w:rsid w:val="001D15E5"/>
    <w:rsid w:val="001D2381"/>
    <w:rsid w:val="001D29EA"/>
    <w:rsid w:val="001D2AFB"/>
    <w:rsid w:val="001D2CE9"/>
    <w:rsid w:val="001D34AF"/>
    <w:rsid w:val="001D3E63"/>
    <w:rsid w:val="001D40DA"/>
    <w:rsid w:val="001D419F"/>
    <w:rsid w:val="001D43D0"/>
    <w:rsid w:val="001D516B"/>
    <w:rsid w:val="001D5A4E"/>
    <w:rsid w:val="001D5C57"/>
    <w:rsid w:val="001D5D9A"/>
    <w:rsid w:val="001D6081"/>
    <w:rsid w:val="001D6B29"/>
    <w:rsid w:val="001D6F2E"/>
    <w:rsid w:val="001D71BC"/>
    <w:rsid w:val="001D7346"/>
    <w:rsid w:val="001D755A"/>
    <w:rsid w:val="001E0367"/>
    <w:rsid w:val="001E094C"/>
    <w:rsid w:val="001E0FF6"/>
    <w:rsid w:val="001E11E2"/>
    <w:rsid w:val="001E11F6"/>
    <w:rsid w:val="001E1857"/>
    <w:rsid w:val="001E2231"/>
    <w:rsid w:val="001E27FB"/>
    <w:rsid w:val="001E2B1A"/>
    <w:rsid w:val="001E2FB8"/>
    <w:rsid w:val="001E3485"/>
    <w:rsid w:val="001E373E"/>
    <w:rsid w:val="001E3753"/>
    <w:rsid w:val="001E383E"/>
    <w:rsid w:val="001E4011"/>
    <w:rsid w:val="001E4060"/>
    <w:rsid w:val="001E4456"/>
    <w:rsid w:val="001E44C8"/>
    <w:rsid w:val="001E4518"/>
    <w:rsid w:val="001E467A"/>
    <w:rsid w:val="001E4E88"/>
    <w:rsid w:val="001E4FFF"/>
    <w:rsid w:val="001E5747"/>
    <w:rsid w:val="001E5BEE"/>
    <w:rsid w:val="001E619D"/>
    <w:rsid w:val="001E6889"/>
    <w:rsid w:val="001E68EE"/>
    <w:rsid w:val="001E751C"/>
    <w:rsid w:val="001E77C4"/>
    <w:rsid w:val="001E7EA4"/>
    <w:rsid w:val="001F00B7"/>
    <w:rsid w:val="001F0187"/>
    <w:rsid w:val="001F1092"/>
    <w:rsid w:val="001F18AA"/>
    <w:rsid w:val="001F1E88"/>
    <w:rsid w:val="001F200A"/>
    <w:rsid w:val="001F2337"/>
    <w:rsid w:val="001F2FB5"/>
    <w:rsid w:val="001F367C"/>
    <w:rsid w:val="001F4EB9"/>
    <w:rsid w:val="001F4FD4"/>
    <w:rsid w:val="001F4FDB"/>
    <w:rsid w:val="001F52E5"/>
    <w:rsid w:val="001F540A"/>
    <w:rsid w:val="001F58AB"/>
    <w:rsid w:val="001F5D2F"/>
    <w:rsid w:val="001F5E20"/>
    <w:rsid w:val="001F5FA3"/>
    <w:rsid w:val="001F60AC"/>
    <w:rsid w:val="001F6E1E"/>
    <w:rsid w:val="001F6F0C"/>
    <w:rsid w:val="001F73E9"/>
    <w:rsid w:val="001F74B9"/>
    <w:rsid w:val="001F7F82"/>
    <w:rsid w:val="002002AA"/>
    <w:rsid w:val="002003C3"/>
    <w:rsid w:val="00200D50"/>
    <w:rsid w:val="002019D1"/>
    <w:rsid w:val="00201AB8"/>
    <w:rsid w:val="00201E8F"/>
    <w:rsid w:val="00201FFF"/>
    <w:rsid w:val="002023B3"/>
    <w:rsid w:val="00202CDB"/>
    <w:rsid w:val="00203052"/>
    <w:rsid w:val="0020342F"/>
    <w:rsid w:val="002034CC"/>
    <w:rsid w:val="00203D9B"/>
    <w:rsid w:val="00204381"/>
    <w:rsid w:val="002045FE"/>
    <w:rsid w:val="00204779"/>
    <w:rsid w:val="00204799"/>
    <w:rsid w:val="00204B8D"/>
    <w:rsid w:val="00204EBE"/>
    <w:rsid w:val="00205131"/>
    <w:rsid w:val="002051EA"/>
    <w:rsid w:val="00205B05"/>
    <w:rsid w:val="002060C2"/>
    <w:rsid w:val="00206D91"/>
    <w:rsid w:val="00206EED"/>
    <w:rsid w:val="0020765F"/>
    <w:rsid w:val="00207674"/>
    <w:rsid w:val="002076D5"/>
    <w:rsid w:val="00207C9E"/>
    <w:rsid w:val="00210B8A"/>
    <w:rsid w:val="002111F3"/>
    <w:rsid w:val="002117F4"/>
    <w:rsid w:val="002118E8"/>
    <w:rsid w:val="00212024"/>
    <w:rsid w:val="00212116"/>
    <w:rsid w:val="00212798"/>
    <w:rsid w:val="00213180"/>
    <w:rsid w:val="002136EF"/>
    <w:rsid w:val="00213A5A"/>
    <w:rsid w:val="00213C0E"/>
    <w:rsid w:val="00213D58"/>
    <w:rsid w:val="00213EB4"/>
    <w:rsid w:val="002142CA"/>
    <w:rsid w:val="0021481A"/>
    <w:rsid w:val="00214D1A"/>
    <w:rsid w:val="00214EEA"/>
    <w:rsid w:val="00214FBE"/>
    <w:rsid w:val="00215254"/>
    <w:rsid w:val="00215ADA"/>
    <w:rsid w:val="00216326"/>
    <w:rsid w:val="00216648"/>
    <w:rsid w:val="00216651"/>
    <w:rsid w:val="0021671E"/>
    <w:rsid w:val="00216AAD"/>
    <w:rsid w:val="00216C9A"/>
    <w:rsid w:val="00216D51"/>
    <w:rsid w:val="00217096"/>
    <w:rsid w:val="00217C7A"/>
    <w:rsid w:val="00217E93"/>
    <w:rsid w:val="00217FC2"/>
    <w:rsid w:val="00220265"/>
    <w:rsid w:val="0022027B"/>
    <w:rsid w:val="00220699"/>
    <w:rsid w:val="00220CF8"/>
    <w:rsid w:val="00220D8D"/>
    <w:rsid w:val="0022151A"/>
    <w:rsid w:val="002215FD"/>
    <w:rsid w:val="002216C7"/>
    <w:rsid w:val="00221E48"/>
    <w:rsid w:val="00222173"/>
    <w:rsid w:val="00222228"/>
    <w:rsid w:val="00222370"/>
    <w:rsid w:val="00222CBD"/>
    <w:rsid w:val="00223892"/>
    <w:rsid w:val="00223940"/>
    <w:rsid w:val="00223C1B"/>
    <w:rsid w:val="00223F09"/>
    <w:rsid w:val="002245C8"/>
    <w:rsid w:val="0022465E"/>
    <w:rsid w:val="00224A58"/>
    <w:rsid w:val="00225164"/>
    <w:rsid w:val="00225168"/>
    <w:rsid w:val="0023041D"/>
    <w:rsid w:val="00231057"/>
    <w:rsid w:val="00231363"/>
    <w:rsid w:val="00231385"/>
    <w:rsid w:val="002316E9"/>
    <w:rsid w:val="0023269D"/>
    <w:rsid w:val="002326C1"/>
    <w:rsid w:val="00232A8A"/>
    <w:rsid w:val="00233032"/>
    <w:rsid w:val="002332F7"/>
    <w:rsid w:val="00233986"/>
    <w:rsid w:val="00233D50"/>
    <w:rsid w:val="00234372"/>
    <w:rsid w:val="002346A5"/>
    <w:rsid w:val="002346FD"/>
    <w:rsid w:val="00234798"/>
    <w:rsid w:val="00236146"/>
    <w:rsid w:val="00240C3D"/>
    <w:rsid w:val="00240D9B"/>
    <w:rsid w:val="002413A5"/>
    <w:rsid w:val="00241466"/>
    <w:rsid w:val="00241F56"/>
    <w:rsid w:val="002421FC"/>
    <w:rsid w:val="00242676"/>
    <w:rsid w:val="002433B0"/>
    <w:rsid w:val="002433D6"/>
    <w:rsid w:val="00243641"/>
    <w:rsid w:val="00243BE3"/>
    <w:rsid w:val="0024415B"/>
    <w:rsid w:val="00244642"/>
    <w:rsid w:val="00244D15"/>
    <w:rsid w:val="00244E1B"/>
    <w:rsid w:val="00245445"/>
    <w:rsid w:val="00245474"/>
    <w:rsid w:val="002462FC"/>
    <w:rsid w:val="00246417"/>
    <w:rsid w:val="00246916"/>
    <w:rsid w:val="00247270"/>
    <w:rsid w:val="0024752F"/>
    <w:rsid w:val="00247C3E"/>
    <w:rsid w:val="002500E6"/>
    <w:rsid w:val="00250178"/>
    <w:rsid w:val="00250302"/>
    <w:rsid w:val="002503BA"/>
    <w:rsid w:val="002509DA"/>
    <w:rsid w:val="00251005"/>
    <w:rsid w:val="0025173F"/>
    <w:rsid w:val="00251963"/>
    <w:rsid w:val="00251F57"/>
    <w:rsid w:val="0025220D"/>
    <w:rsid w:val="002529E3"/>
    <w:rsid w:val="00252E78"/>
    <w:rsid w:val="00252F17"/>
    <w:rsid w:val="00253194"/>
    <w:rsid w:val="00253238"/>
    <w:rsid w:val="0025359A"/>
    <w:rsid w:val="002539F9"/>
    <w:rsid w:val="00253D47"/>
    <w:rsid w:val="002545AB"/>
    <w:rsid w:val="00254667"/>
    <w:rsid w:val="0025469B"/>
    <w:rsid w:val="00254BBE"/>
    <w:rsid w:val="00254DAC"/>
    <w:rsid w:val="00254F00"/>
    <w:rsid w:val="00255101"/>
    <w:rsid w:val="002553EF"/>
    <w:rsid w:val="0025556C"/>
    <w:rsid w:val="002555A1"/>
    <w:rsid w:val="002557F9"/>
    <w:rsid w:val="002559EF"/>
    <w:rsid w:val="0025637F"/>
    <w:rsid w:val="002567D3"/>
    <w:rsid w:val="00256C8E"/>
    <w:rsid w:val="00256E58"/>
    <w:rsid w:val="002572C6"/>
    <w:rsid w:val="00257669"/>
    <w:rsid w:val="00257837"/>
    <w:rsid w:val="00257A26"/>
    <w:rsid w:val="00257C58"/>
    <w:rsid w:val="002605A7"/>
    <w:rsid w:val="00260847"/>
    <w:rsid w:val="00261653"/>
    <w:rsid w:val="0026189C"/>
    <w:rsid w:val="002622CC"/>
    <w:rsid w:val="00262391"/>
    <w:rsid w:val="00263152"/>
    <w:rsid w:val="0026368D"/>
    <w:rsid w:val="00263A27"/>
    <w:rsid w:val="0026424C"/>
    <w:rsid w:val="002642FC"/>
    <w:rsid w:val="0026495C"/>
    <w:rsid w:val="0026544D"/>
    <w:rsid w:val="00265FB5"/>
    <w:rsid w:val="00266AF5"/>
    <w:rsid w:val="00266D04"/>
    <w:rsid w:val="002672C4"/>
    <w:rsid w:val="002674FC"/>
    <w:rsid w:val="00267867"/>
    <w:rsid w:val="002701ED"/>
    <w:rsid w:val="0027076E"/>
    <w:rsid w:val="0027080C"/>
    <w:rsid w:val="00270FD8"/>
    <w:rsid w:val="002715E5"/>
    <w:rsid w:val="00271642"/>
    <w:rsid w:val="00271A30"/>
    <w:rsid w:val="00271AF4"/>
    <w:rsid w:val="00272747"/>
    <w:rsid w:val="00272812"/>
    <w:rsid w:val="00273557"/>
    <w:rsid w:val="00273AF1"/>
    <w:rsid w:val="00273EB1"/>
    <w:rsid w:val="002742C4"/>
    <w:rsid w:val="002744A6"/>
    <w:rsid w:val="002745D1"/>
    <w:rsid w:val="0027478C"/>
    <w:rsid w:val="002747FE"/>
    <w:rsid w:val="002749F4"/>
    <w:rsid w:val="00274CEA"/>
    <w:rsid w:val="00275441"/>
    <w:rsid w:val="00275BE1"/>
    <w:rsid w:val="002763DB"/>
    <w:rsid w:val="00276E87"/>
    <w:rsid w:val="00277842"/>
    <w:rsid w:val="00277E99"/>
    <w:rsid w:val="00280101"/>
    <w:rsid w:val="00280569"/>
    <w:rsid w:val="0028159B"/>
    <w:rsid w:val="002822BC"/>
    <w:rsid w:val="00282934"/>
    <w:rsid w:val="00283343"/>
    <w:rsid w:val="00283475"/>
    <w:rsid w:val="00283765"/>
    <w:rsid w:val="002841B8"/>
    <w:rsid w:val="002843A3"/>
    <w:rsid w:val="00284488"/>
    <w:rsid w:val="0028457F"/>
    <w:rsid w:val="00284996"/>
    <w:rsid w:val="00284D15"/>
    <w:rsid w:val="00285044"/>
    <w:rsid w:val="002852B7"/>
    <w:rsid w:val="0028534D"/>
    <w:rsid w:val="00285594"/>
    <w:rsid w:val="00285654"/>
    <w:rsid w:val="00285B0D"/>
    <w:rsid w:val="00285BC7"/>
    <w:rsid w:val="0028636E"/>
    <w:rsid w:val="00286740"/>
    <w:rsid w:val="00286AC4"/>
    <w:rsid w:val="00286C29"/>
    <w:rsid w:val="00287643"/>
    <w:rsid w:val="00287F6C"/>
    <w:rsid w:val="002900F3"/>
    <w:rsid w:val="00290163"/>
    <w:rsid w:val="002907AE"/>
    <w:rsid w:val="002907DC"/>
    <w:rsid w:val="00290876"/>
    <w:rsid w:val="00290C55"/>
    <w:rsid w:val="00290EE6"/>
    <w:rsid w:val="00291A08"/>
    <w:rsid w:val="00291FA2"/>
    <w:rsid w:val="0029281E"/>
    <w:rsid w:val="00292884"/>
    <w:rsid w:val="00292971"/>
    <w:rsid w:val="00292EC1"/>
    <w:rsid w:val="00293051"/>
    <w:rsid w:val="00293385"/>
    <w:rsid w:val="0029338A"/>
    <w:rsid w:val="002939EB"/>
    <w:rsid w:val="00293D1E"/>
    <w:rsid w:val="00294726"/>
    <w:rsid w:val="0029481A"/>
    <w:rsid w:val="00294B02"/>
    <w:rsid w:val="00294C99"/>
    <w:rsid w:val="00294D83"/>
    <w:rsid w:val="00295917"/>
    <w:rsid w:val="0029593D"/>
    <w:rsid w:val="00295C97"/>
    <w:rsid w:val="002961BB"/>
    <w:rsid w:val="0029628E"/>
    <w:rsid w:val="002968B1"/>
    <w:rsid w:val="002968FE"/>
    <w:rsid w:val="00296AE1"/>
    <w:rsid w:val="00296F46"/>
    <w:rsid w:val="0029717D"/>
    <w:rsid w:val="00297C07"/>
    <w:rsid w:val="002A1277"/>
    <w:rsid w:val="002A1772"/>
    <w:rsid w:val="002A204B"/>
    <w:rsid w:val="002A2161"/>
    <w:rsid w:val="002A29F2"/>
    <w:rsid w:val="002A3BD8"/>
    <w:rsid w:val="002A3C2E"/>
    <w:rsid w:val="002A4706"/>
    <w:rsid w:val="002A4845"/>
    <w:rsid w:val="002A4F45"/>
    <w:rsid w:val="002A50A9"/>
    <w:rsid w:val="002A561C"/>
    <w:rsid w:val="002A5F57"/>
    <w:rsid w:val="002A6CBF"/>
    <w:rsid w:val="002A6D63"/>
    <w:rsid w:val="002A7048"/>
    <w:rsid w:val="002A70B7"/>
    <w:rsid w:val="002A748F"/>
    <w:rsid w:val="002B0238"/>
    <w:rsid w:val="002B02E8"/>
    <w:rsid w:val="002B0384"/>
    <w:rsid w:val="002B05FE"/>
    <w:rsid w:val="002B1377"/>
    <w:rsid w:val="002B14CD"/>
    <w:rsid w:val="002B2304"/>
    <w:rsid w:val="002B25B2"/>
    <w:rsid w:val="002B25DE"/>
    <w:rsid w:val="002B2668"/>
    <w:rsid w:val="002B2B8E"/>
    <w:rsid w:val="002B2EF8"/>
    <w:rsid w:val="002B323C"/>
    <w:rsid w:val="002B3244"/>
    <w:rsid w:val="002B3E0D"/>
    <w:rsid w:val="002B3E89"/>
    <w:rsid w:val="002B484C"/>
    <w:rsid w:val="002B4D3E"/>
    <w:rsid w:val="002B5227"/>
    <w:rsid w:val="002B5B7A"/>
    <w:rsid w:val="002B5C17"/>
    <w:rsid w:val="002B5D34"/>
    <w:rsid w:val="002B6133"/>
    <w:rsid w:val="002B6745"/>
    <w:rsid w:val="002B695A"/>
    <w:rsid w:val="002B6BB4"/>
    <w:rsid w:val="002B6E51"/>
    <w:rsid w:val="002B73E2"/>
    <w:rsid w:val="002B7904"/>
    <w:rsid w:val="002B79DA"/>
    <w:rsid w:val="002B7F97"/>
    <w:rsid w:val="002C0110"/>
    <w:rsid w:val="002C0304"/>
    <w:rsid w:val="002C079D"/>
    <w:rsid w:val="002C096A"/>
    <w:rsid w:val="002C12D6"/>
    <w:rsid w:val="002C12D9"/>
    <w:rsid w:val="002C18B7"/>
    <w:rsid w:val="002C1B26"/>
    <w:rsid w:val="002C1F28"/>
    <w:rsid w:val="002C23BF"/>
    <w:rsid w:val="002C24D7"/>
    <w:rsid w:val="002C286D"/>
    <w:rsid w:val="002C2CAC"/>
    <w:rsid w:val="002C2F4E"/>
    <w:rsid w:val="002C30BA"/>
    <w:rsid w:val="002C33B7"/>
    <w:rsid w:val="002C3578"/>
    <w:rsid w:val="002C3AD2"/>
    <w:rsid w:val="002C3ED6"/>
    <w:rsid w:val="002C418B"/>
    <w:rsid w:val="002C4201"/>
    <w:rsid w:val="002C468E"/>
    <w:rsid w:val="002C4D33"/>
    <w:rsid w:val="002C522A"/>
    <w:rsid w:val="002C52BD"/>
    <w:rsid w:val="002C6075"/>
    <w:rsid w:val="002C64F3"/>
    <w:rsid w:val="002C6996"/>
    <w:rsid w:val="002C69F6"/>
    <w:rsid w:val="002C6C5B"/>
    <w:rsid w:val="002C7537"/>
    <w:rsid w:val="002C7F07"/>
    <w:rsid w:val="002D00C7"/>
    <w:rsid w:val="002D030C"/>
    <w:rsid w:val="002D0399"/>
    <w:rsid w:val="002D0882"/>
    <w:rsid w:val="002D0CBD"/>
    <w:rsid w:val="002D1067"/>
    <w:rsid w:val="002D11C6"/>
    <w:rsid w:val="002D1252"/>
    <w:rsid w:val="002D17E3"/>
    <w:rsid w:val="002D2739"/>
    <w:rsid w:val="002D2B07"/>
    <w:rsid w:val="002D2CAE"/>
    <w:rsid w:val="002D2DC4"/>
    <w:rsid w:val="002D2FA5"/>
    <w:rsid w:val="002D31D9"/>
    <w:rsid w:val="002D3AE3"/>
    <w:rsid w:val="002D3F6E"/>
    <w:rsid w:val="002D3FB5"/>
    <w:rsid w:val="002D4760"/>
    <w:rsid w:val="002D516B"/>
    <w:rsid w:val="002D51C1"/>
    <w:rsid w:val="002D527A"/>
    <w:rsid w:val="002D5811"/>
    <w:rsid w:val="002D5FBC"/>
    <w:rsid w:val="002D6978"/>
    <w:rsid w:val="002D6A0C"/>
    <w:rsid w:val="002D6A9D"/>
    <w:rsid w:val="002D72DE"/>
    <w:rsid w:val="002D7651"/>
    <w:rsid w:val="002D7656"/>
    <w:rsid w:val="002D7BAD"/>
    <w:rsid w:val="002D7BFC"/>
    <w:rsid w:val="002E029F"/>
    <w:rsid w:val="002E090F"/>
    <w:rsid w:val="002E0E3A"/>
    <w:rsid w:val="002E11C3"/>
    <w:rsid w:val="002E130D"/>
    <w:rsid w:val="002E1ADD"/>
    <w:rsid w:val="002E1AFB"/>
    <w:rsid w:val="002E1EDB"/>
    <w:rsid w:val="002E20E4"/>
    <w:rsid w:val="002E2255"/>
    <w:rsid w:val="002E2470"/>
    <w:rsid w:val="002E2C27"/>
    <w:rsid w:val="002E2D64"/>
    <w:rsid w:val="002E2EA4"/>
    <w:rsid w:val="002E2F63"/>
    <w:rsid w:val="002E339C"/>
    <w:rsid w:val="002E4150"/>
    <w:rsid w:val="002E43D0"/>
    <w:rsid w:val="002E49A6"/>
    <w:rsid w:val="002E5EF1"/>
    <w:rsid w:val="002E6B9E"/>
    <w:rsid w:val="002E6EAB"/>
    <w:rsid w:val="002E7799"/>
    <w:rsid w:val="002E7F57"/>
    <w:rsid w:val="002F013B"/>
    <w:rsid w:val="002F03EF"/>
    <w:rsid w:val="002F0511"/>
    <w:rsid w:val="002F0637"/>
    <w:rsid w:val="002F094A"/>
    <w:rsid w:val="002F0E98"/>
    <w:rsid w:val="002F1617"/>
    <w:rsid w:val="002F209C"/>
    <w:rsid w:val="002F2AA4"/>
    <w:rsid w:val="002F2D6B"/>
    <w:rsid w:val="002F37A8"/>
    <w:rsid w:val="002F37D0"/>
    <w:rsid w:val="002F3E25"/>
    <w:rsid w:val="002F4243"/>
    <w:rsid w:val="002F49EC"/>
    <w:rsid w:val="002F4E32"/>
    <w:rsid w:val="002F5021"/>
    <w:rsid w:val="002F50A5"/>
    <w:rsid w:val="002F50FC"/>
    <w:rsid w:val="002F5497"/>
    <w:rsid w:val="002F56B6"/>
    <w:rsid w:val="002F6391"/>
    <w:rsid w:val="002F68BA"/>
    <w:rsid w:val="002F6AC3"/>
    <w:rsid w:val="002F6D4A"/>
    <w:rsid w:val="002F6DCF"/>
    <w:rsid w:val="002F748D"/>
    <w:rsid w:val="002F781A"/>
    <w:rsid w:val="002F7EAC"/>
    <w:rsid w:val="00300566"/>
    <w:rsid w:val="003006DA"/>
    <w:rsid w:val="0030071E"/>
    <w:rsid w:val="00300C77"/>
    <w:rsid w:val="00300DE1"/>
    <w:rsid w:val="00300E8B"/>
    <w:rsid w:val="0030108C"/>
    <w:rsid w:val="003015BA"/>
    <w:rsid w:val="003016E2"/>
    <w:rsid w:val="00301C17"/>
    <w:rsid w:val="00301E6A"/>
    <w:rsid w:val="00301FBA"/>
    <w:rsid w:val="00302CD2"/>
    <w:rsid w:val="00302D9D"/>
    <w:rsid w:val="0030300D"/>
    <w:rsid w:val="00303208"/>
    <w:rsid w:val="00303427"/>
    <w:rsid w:val="0030350B"/>
    <w:rsid w:val="00303543"/>
    <w:rsid w:val="00303716"/>
    <w:rsid w:val="00303B0B"/>
    <w:rsid w:val="00303BB4"/>
    <w:rsid w:val="00303BC4"/>
    <w:rsid w:val="00304129"/>
    <w:rsid w:val="00304177"/>
    <w:rsid w:val="00304DDA"/>
    <w:rsid w:val="00304E0B"/>
    <w:rsid w:val="00304EE1"/>
    <w:rsid w:val="00305CF4"/>
    <w:rsid w:val="00305F56"/>
    <w:rsid w:val="003064E1"/>
    <w:rsid w:val="00306DB1"/>
    <w:rsid w:val="00307064"/>
    <w:rsid w:val="00307759"/>
    <w:rsid w:val="00307BFD"/>
    <w:rsid w:val="00307CF9"/>
    <w:rsid w:val="00307E09"/>
    <w:rsid w:val="00307E4B"/>
    <w:rsid w:val="00307F21"/>
    <w:rsid w:val="00310430"/>
    <w:rsid w:val="003114FA"/>
    <w:rsid w:val="00311BEA"/>
    <w:rsid w:val="00311D79"/>
    <w:rsid w:val="00312B38"/>
    <w:rsid w:val="00313799"/>
    <w:rsid w:val="003138A8"/>
    <w:rsid w:val="00313907"/>
    <w:rsid w:val="00313A44"/>
    <w:rsid w:val="00313E37"/>
    <w:rsid w:val="00314D1E"/>
    <w:rsid w:val="00315073"/>
    <w:rsid w:val="00315206"/>
    <w:rsid w:val="00315241"/>
    <w:rsid w:val="003153BB"/>
    <w:rsid w:val="003159D9"/>
    <w:rsid w:val="00316A16"/>
    <w:rsid w:val="0031729F"/>
    <w:rsid w:val="003174F8"/>
    <w:rsid w:val="003175E9"/>
    <w:rsid w:val="00317FD8"/>
    <w:rsid w:val="00320487"/>
    <w:rsid w:val="003204FD"/>
    <w:rsid w:val="00320B2A"/>
    <w:rsid w:val="00320F20"/>
    <w:rsid w:val="00320F88"/>
    <w:rsid w:val="00321558"/>
    <w:rsid w:val="00321743"/>
    <w:rsid w:val="00322176"/>
    <w:rsid w:val="00322BE4"/>
    <w:rsid w:val="00322F9A"/>
    <w:rsid w:val="00322FA8"/>
    <w:rsid w:val="0032450A"/>
    <w:rsid w:val="00324C8C"/>
    <w:rsid w:val="00324DD1"/>
    <w:rsid w:val="00325472"/>
    <w:rsid w:val="00325769"/>
    <w:rsid w:val="00325AC3"/>
    <w:rsid w:val="00326155"/>
    <w:rsid w:val="0032616B"/>
    <w:rsid w:val="00326B55"/>
    <w:rsid w:val="003271C5"/>
    <w:rsid w:val="00327425"/>
    <w:rsid w:val="003275E0"/>
    <w:rsid w:val="00330207"/>
    <w:rsid w:val="00330509"/>
    <w:rsid w:val="003308A9"/>
    <w:rsid w:val="00330C3B"/>
    <w:rsid w:val="0033105F"/>
    <w:rsid w:val="003310A7"/>
    <w:rsid w:val="003311C5"/>
    <w:rsid w:val="00331432"/>
    <w:rsid w:val="00331492"/>
    <w:rsid w:val="00331D03"/>
    <w:rsid w:val="00332972"/>
    <w:rsid w:val="00332FF3"/>
    <w:rsid w:val="0033309B"/>
    <w:rsid w:val="00333789"/>
    <w:rsid w:val="00333B5E"/>
    <w:rsid w:val="00334087"/>
    <w:rsid w:val="0033470F"/>
    <w:rsid w:val="00334766"/>
    <w:rsid w:val="00334776"/>
    <w:rsid w:val="00334B36"/>
    <w:rsid w:val="00334E1E"/>
    <w:rsid w:val="00335066"/>
    <w:rsid w:val="003352CE"/>
    <w:rsid w:val="00335348"/>
    <w:rsid w:val="00335F25"/>
    <w:rsid w:val="00336631"/>
    <w:rsid w:val="003368A9"/>
    <w:rsid w:val="00337244"/>
    <w:rsid w:val="0033756B"/>
    <w:rsid w:val="00337793"/>
    <w:rsid w:val="00337851"/>
    <w:rsid w:val="00337863"/>
    <w:rsid w:val="00337CA7"/>
    <w:rsid w:val="00340786"/>
    <w:rsid w:val="00340CE0"/>
    <w:rsid w:val="003410AA"/>
    <w:rsid w:val="00341500"/>
    <w:rsid w:val="003418A7"/>
    <w:rsid w:val="00341B05"/>
    <w:rsid w:val="00342205"/>
    <w:rsid w:val="003423EB"/>
    <w:rsid w:val="003429F1"/>
    <w:rsid w:val="00342B71"/>
    <w:rsid w:val="00342EDD"/>
    <w:rsid w:val="0034309B"/>
    <w:rsid w:val="00343737"/>
    <w:rsid w:val="00344117"/>
    <w:rsid w:val="00344353"/>
    <w:rsid w:val="0034493D"/>
    <w:rsid w:val="00344A52"/>
    <w:rsid w:val="00344B38"/>
    <w:rsid w:val="00344F04"/>
    <w:rsid w:val="0034521D"/>
    <w:rsid w:val="003459AC"/>
    <w:rsid w:val="00345FA1"/>
    <w:rsid w:val="003464BD"/>
    <w:rsid w:val="00346D46"/>
    <w:rsid w:val="00346E32"/>
    <w:rsid w:val="0034755B"/>
    <w:rsid w:val="00347A59"/>
    <w:rsid w:val="00347EC1"/>
    <w:rsid w:val="0035004A"/>
    <w:rsid w:val="00350336"/>
    <w:rsid w:val="00350EF3"/>
    <w:rsid w:val="00351513"/>
    <w:rsid w:val="00351BD9"/>
    <w:rsid w:val="00351D96"/>
    <w:rsid w:val="00352C2B"/>
    <w:rsid w:val="00352F76"/>
    <w:rsid w:val="0035338B"/>
    <w:rsid w:val="003533A4"/>
    <w:rsid w:val="0035368F"/>
    <w:rsid w:val="00354E8D"/>
    <w:rsid w:val="0035525B"/>
    <w:rsid w:val="003554A7"/>
    <w:rsid w:val="0035551E"/>
    <w:rsid w:val="00355C2D"/>
    <w:rsid w:val="00355C89"/>
    <w:rsid w:val="00356698"/>
    <w:rsid w:val="003566BC"/>
    <w:rsid w:val="00356CE8"/>
    <w:rsid w:val="00356E6D"/>
    <w:rsid w:val="00357974"/>
    <w:rsid w:val="003579F2"/>
    <w:rsid w:val="003579F9"/>
    <w:rsid w:val="00360058"/>
    <w:rsid w:val="00360470"/>
    <w:rsid w:val="00360BE6"/>
    <w:rsid w:val="00360D78"/>
    <w:rsid w:val="00361524"/>
    <w:rsid w:val="003615A7"/>
    <w:rsid w:val="00361EAF"/>
    <w:rsid w:val="00361FC7"/>
    <w:rsid w:val="00362463"/>
    <w:rsid w:val="0036257D"/>
    <w:rsid w:val="003628B0"/>
    <w:rsid w:val="00363014"/>
    <w:rsid w:val="0036316C"/>
    <w:rsid w:val="00363306"/>
    <w:rsid w:val="00363315"/>
    <w:rsid w:val="0036333F"/>
    <w:rsid w:val="003636BA"/>
    <w:rsid w:val="003637A5"/>
    <w:rsid w:val="00363C1A"/>
    <w:rsid w:val="00363E99"/>
    <w:rsid w:val="003641A6"/>
    <w:rsid w:val="00364563"/>
    <w:rsid w:val="00364580"/>
    <w:rsid w:val="00364D6E"/>
    <w:rsid w:val="00365690"/>
    <w:rsid w:val="0036577B"/>
    <w:rsid w:val="00365959"/>
    <w:rsid w:val="00366ACD"/>
    <w:rsid w:val="00367033"/>
    <w:rsid w:val="003674D9"/>
    <w:rsid w:val="00367850"/>
    <w:rsid w:val="0037001F"/>
    <w:rsid w:val="0037017F"/>
    <w:rsid w:val="00370192"/>
    <w:rsid w:val="00370377"/>
    <w:rsid w:val="00370CE8"/>
    <w:rsid w:val="00371321"/>
    <w:rsid w:val="00371384"/>
    <w:rsid w:val="00371EEF"/>
    <w:rsid w:val="00372965"/>
    <w:rsid w:val="00372C6F"/>
    <w:rsid w:val="00373A0B"/>
    <w:rsid w:val="00373E32"/>
    <w:rsid w:val="0037459F"/>
    <w:rsid w:val="003748CB"/>
    <w:rsid w:val="00374CB3"/>
    <w:rsid w:val="003750F8"/>
    <w:rsid w:val="00375136"/>
    <w:rsid w:val="00375A02"/>
    <w:rsid w:val="00375C31"/>
    <w:rsid w:val="00376467"/>
    <w:rsid w:val="0037671F"/>
    <w:rsid w:val="00376A38"/>
    <w:rsid w:val="0037735E"/>
    <w:rsid w:val="00377580"/>
    <w:rsid w:val="00377B9F"/>
    <w:rsid w:val="00377E04"/>
    <w:rsid w:val="00377FA0"/>
    <w:rsid w:val="00380210"/>
    <w:rsid w:val="00380F3E"/>
    <w:rsid w:val="00380F49"/>
    <w:rsid w:val="003810AB"/>
    <w:rsid w:val="00381745"/>
    <w:rsid w:val="00381764"/>
    <w:rsid w:val="00382167"/>
    <w:rsid w:val="003823D5"/>
    <w:rsid w:val="00382926"/>
    <w:rsid w:val="0038300C"/>
    <w:rsid w:val="0038363F"/>
    <w:rsid w:val="00383E33"/>
    <w:rsid w:val="003849E0"/>
    <w:rsid w:val="00384DDA"/>
    <w:rsid w:val="00385316"/>
    <w:rsid w:val="00385328"/>
    <w:rsid w:val="003854E9"/>
    <w:rsid w:val="0038577D"/>
    <w:rsid w:val="00385BBA"/>
    <w:rsid w:val="00385C8A"/>
    <w:rsid w:val="003862A1"/>
    <w:rsid w:val="00386827"/>
    <w:rsid w:val="00386BAA"/>
    <w:rsid w:val="003873C6"/>
    <w:rsid w:val="0038746F"/>
    <w:rsid w:val="003878ED"/>
    <w:rsid w:val="00387FF5"/>
    <w:rsid w:val="00390575"/>
    <w:rsid w:val="003906CD"/>
    <w:rsid w:val="00390798"/>
    <w:rsid w:val="00391125"/>
    <w:rsid w:val="0039136E"/>
    <w:rsid w:val="003913BD"/>
    <w:rsid w:val="00391F0E"/>
    <w:rsid w:val="003922B1"/>
    <w:rsid w:val="0039296F"/>
    <w:rsid w:val="00392AFB"/>
    <w:rsid w:val="003930B5"/>
    <w:rsid w:val="0039334A"/>
    <w:rsid w:val="00393394"/>
    <w:rsid w:val="00393468"/>
    <w:rsid w:val="00393585"/>
    <w:rsid w:val="003935B9"/>
    <w:rsid w:val="003935CB"/>
    <w:rsid w:val="00395CCF"/>
    <w:rsid w:val="00396338"/>
    <w:rsid w:val="00396749"/>
    <w:rsid w:val="003967B0"/>
    <w:rsid w:val="00396958"/>
    <w:rsid w:val="00396B1E"/>
    <w:rsid w:val="00396BCA"/>
    <w:rsid w:val="00396E17"/>
    <w:rsid w:val="0039723A"/>
    <w:rsid w:val="00397280"/>
    <w:rsid w:val="003973DD"/>
    <w:rsid w:val="003978B3"/>
    <w:rsid w:val="003A06C5"/>
    <w:rsid w:val="003A0890"/>
    <w:rsid w:val="003A0A29"/>
    <w:rsid w:val="003A0C97"/>
    <w:rsid w:val="003A1AF7"/>
    <w:rsid w:val="003A221F"/>
    <w:rsid w:val="003A257E"/>
    <w:rsid w:val="003A25F4"/>
    <w:rsid w:val="003A295A"/>
    <w:rsid w:val="003A3159"/>
    <w:rsid w:val="003A39C7"/>
    <w:rsid w:val="003A3A4D"/>
    <w:rsid w:val="003A3AC4"/>
    <w:rsid w:val="003A3D0E"/>
    <w:rsid w:val="003A3D9A"/>
    <w:rsid w:val="003A409D"/>
    <w:rsid w:val="003A4129"/>
    <w:rsid w:val="003A420E"/>
    <w:rsid w:val="003A4801"/>
    <w:rsid w:val="003A48A3"/>
    <w:rsid w:val="003A4AAF"/>
    <w:rsid w:val="003A4B2E"/>
    <w:rsid w:val="003A54BC"/>
    <w:rsid w:val="003A5737"/>
    <w:rsid w:val="003A589B"/>
    <w:rsid w:val="003A58AF"/>
    <w:rsid w:val="003A7236"/>
    <w:rsid w:val="003A7911"/>
    <w:rsid w:val="003B019B"/>
    <w:rsid w:val="003B01E4"/>
    <w:rsid w:val="003B088E"/>
    <w:rsid w:val="003B1014"/>
    <w:rsid w:val="003B106B"/>
    <w:rsid w:val="003B1EA1"/>
    <w:rsid w:val="003B1F25"/>
    <w:rsid w:val="003B27DF"/>
    <w:rsid w:val="003B2E07"/>
    <w:rsid w:val="003B3656"/>
    <w:rsid w:val="003B3951"/>
    <w:rsid w:val="003B3BDF"/>
    <w:rsid w:val="003B44AF"/>
    <w:rsid w:val="003B46C7"/>
    <w:rsid w:val="003B4719"/>
    <w:rsid w:val="003B4787"/>
    <w:rsid w:val="003B4F0C"/>
    <w:rsid w:val="003B50BA"/>
    <w:rsid w:val="003B5452"/>
    <w:rsid w:val="003B5717"/>
    <w:rsid w:val="003B58FE"/>
    <w:rsid w:val="003B5B2E"/>
    <w:rsid w:val="003B5CAF"/>
    <w:rsid w:val="003B5EA5"/>
    <w:rsid w:val="003B6166"/>
    <w:rsid w:val="003B64E5"/>
    <w:rsid w:val="003B6534"/>
    <w:rsid w:val="003B6927"/>
    <w:rsid w:val="003B696F"/>
    <w:rsid w:val="003B6D41"/>
    <w:rsid w:val="003B76CE"/>
    <w:rsid w:val="003B7749"/>
    <w:rsid w:val="003B7C7B"/>
    <w:rsid w:val="003B7CA4"/>
    <w:rsid w:val="003C0E58"/>
    <w:rsid w:val="003C11B2"/>
    <w:rsid w:val="003C1300"/>
    <w:rsid w:val="003C14B1"/>
    <w:rsid w:val="003C1591"/>
    <w:rsid w:val="003C199E"/>
    <w:rsid w:val="003C2280"/>
    <w:rsid w:val="003C2AA7"/>
    <w:rsid w:val="003C2F47"/>
    <w:rsid w:val="003C3846"/>
    <w:rsid w:val="003C38C8"/>
    <w:rsid w:val="003C44D1"/>
    <w:rsid w:val="003C4733"/>
    <w:rsid w:val="003C4F06"/>
    <w:rsid w:val="003C5A14"/>
    <w:rsid w:val="003C5D9C"/>
    <w:rsid w:val="003C5DE7"/>
    <w:rsid w:val="003C6080"/>
    <w:rsid w:val="003C634A"/>
    <w:rsid w:val="003C6592"/>
    <w:rsid w:val="003C667C"/>
    <w:rsid w:val="003C6AB1"/>
    <w:rsid w:val="003C717C"/>
    <w:rsid w:val="003C7335"/>
    <w:rsid w:val="003C7651"/>
    <w:rsid w:val="003C7879"/>
    <w:rsid w:val="003C79DB"/>
    <w:rsid w:val="003D029E"/>
    <w:rsid w:val="003D067C"/>
    <w:rsid w:val="003D0906"/>
    <w:rsid w:val="003D13D8"/>
    <w:rsid w:val="003D140A"/>
    <w:rsid w:val="003D15B7"/>
    <w:rsid w:val="003D15ED"/>
    <w:rsid w:val="003D1608"/>
    <w:rsid w:val="003D20E1"/>
    <w:rsid w:val="003D2486"/>
    <w:rsid w:val="003D295A"/>
    <w:rsid w:val="003D2A35"/>
    <w:rsid w:val="003D2A9A"/>
    <w:rsid w:val="003D321B"/>
    <w:rsid w:val="003D35FA"/>
    <w:rsid w:val="003D39EF"/>
    <w:rsid w:val="003D41BA"/>
    <w:rsid w:val="003D41C7"/>
    <w:rsid w:val="003D420B"/>
    <w:rsid w:val="003D45E1"/>
    <w:rsid w:val="003D4CC1"/>
    <w:rsid w:val="003D529E"/>
    <w:rsid w:val="003D5427"/>
    <w:rsid w:val="003D6474"/>
    <w:rsid w:val="003D664F"/>
    <w:rsid w:val="003D6670"/>
    <w:rsid w:val="003D6A09"/>
    <w:rsid w:val="003D6F67"/>
    <w:rsid w:val="003D707F"/>
    <w:rsid w:val="003D71D5"/>
    <w:rsid w:val="003D74EF"/>
    <w:rsid w:val="003D7671"/>
    <w:rsid w:val="003D7C9F"/>
    <w:rsid w:val="003E0CAF"/>
    <w:rsid w:val="003E1122"/>
    <w:rsid w:val="003E1207"/>
    <w:rsid w:val="003E12C9"/>
    <w:rsid w:val="003E1604"/>
    <w:rsid w:val="003E1766"/>
    <w:rsid w:val="003E18F5"/>
    <w:rsid w:val="003E1A61"/>
    <w:rsid w:val="003E21C5"/>
    <w:rsid w:val="003E279B"/>
    <w:rsid w:val="003E2AB7"/>
    <w:rsid w:val="003E2F36"/>
    <w:rsid w:val="003E2FB3"/>
    <w:rsid w:val="003E37A0"/>
    <w:rsid w:val="003E393E"/>
    <w:rsid w:val="003E3CFE"/>
    <w:rsid w:val="003E4066"/>
    <w:rsid w:val="003E46CB"/>
    <w:rsid w:val="003E4AE0"/>
    <w:rsid w:val="003E507E"/>
    <w:rsid w:val="003E5394"/>
    <w:rsid w:val="003E5CF4"/>
    <w:rsid w:val="003E678B"/>
    <w:rsid w:val="003E6CCA"/>
    <w:rsid w:val="003E6D93"/>
    <w:rsid w:val="003E73AA"/>
    <w:rsid w:val="003E76C6"/>
    <w:rsid w:val="003E7FBC"/>
    <w:rsid w:val="003F0186"/>
    <w:rsid w:val="003F038A"/>
    <w:rsid w:val="003F0555"/>
    <w:rsid w:val="003F09E9"/>
    <w:rsid w:val="003F0D0F"/>
    <w:rsid w:val="003F11D8"/>
    <w:rsid w:val="003F1222"/>
    <w:rsid w:val="003F1303"/>
    <w:rsid w:val="003F1AAC"/>
    <w:rsid w:val="003F1C6D"/>
    <w:rsid w:val="003F1D12"/>
    <w:rsid w:val="003F1E3F"/>
    <w:rsid w:val="003F1ECD"/>
    <w:rsid w:val="003F2C12"/>
    <w:rsid w:val="003F3195"/>
    <w:rsid w:val="003F32A8"/>
    <w:rsid w:val="003F34C4"/>
    <w:rsid w:val="003F3673"/>
    <w:rsid w:val="003F3760"/>
    <w:rsid w:val="003F442C"/>
    <w:rsid w:val="003F465F"/>
    <w:rsid w:val="003F47AB"/>
    <w:rsid w:val="003F47D1"/>
    <w:rsid w:val="003F4B6C"/>
    <w:rsid w:val="003F4DAF"/>
    <w:rsid w:val="003F5A39"/>
    <w:rsid w:val="003F5EE6"/>
    <w:rsid w:val="003F6039"/>
    <w:rsid w:val="003F67D7"/>
    <w:rsid w:val="003F7144"/>
    <w:rsid w:val="003F74EF"/>
    <w:rsid w:val="00400195"/>
    <w:rsid w:val="00400758"/>
    <w:rsid w:val="00400A77"/>
    <w:rsid w:val="00401262"/>
    <w:rsid w:val="00401B6E"/>
    <w:rsid w:val="0040291B"/>
    <w:rsid w:val="00404123"/>
    <w:rsid w:val="00404550"/>
    <w:rsid w:val="00404B91"/>
    <w:rsid w:val="00404BB2"/>
    <w:rsid w:val="0040541F"/>
    <w:rsid w:val="00405424"/>
    <w:rsid w:val="00405C8A"/>
    <w:rsid w:val="00406889"/>
    <w:rsid w:val="00406DEE"/>
    <w:rsid w:val="00406E48"/>
    <w:rsid w:val="004072DC"/>
    <w:rsid w:val="004075B4"/>
    <w:rsid w:val="00407C6C"/>
    <w:rsid w:val="00410081"/>
    <w:rsid w:val="00410502"/>
    <w:rsid w:val="00410971"/>
    <w:rsid w:val="00410E96"/>
    <w:rsid w:val="00410F5C"/>
    <w:rsid w:val="00411C1D"/>
    <w:rsid w:val="00411FD7"/>
    <w:rsid w:val="0041213F"/>
    <w:rsid w:val="0041242B"/>
    <w:rsid w:val="00412A04"/>
    <w:rsid w:val="00412C22"/>
    <w:rsid w:val="00412C54"/>
    <w:rsid w:val="00412DB7"/>
    <w:rsid w:val="0041307A"/>
    <w:rsid w:val="00413397"/>
    <w:rsid w:val="00413D02"/>
    <w:rsid w:val="00413DF7"/>
    <w:rsid w:val="004141EF"/>
    <w:rsid w:val="00414721"/>
    <w:rsid w:val="00414FC0"/>
    <w:rsid w:val="004150A8"/>
    <w:rsid w:val="0041538F"/>
    <w:rsid w:val="004158E1"/>
    <w:rsid w:val="00415B20"/>
    <w:rsid w:val="00417B00"/>
    <w:rsid w:val="00417D0F"/>
    <w:rsid w:val="00417E9B"/>
    <w:rsid w:val="00417ECD"/>
    <w:rsid w:val="0042007E"/>
    <w:rsid w:val="00420473"/>
    <w:rsid w:val="00420694"/>
    <w:rsid w:val="00420703"/>
    <w:rsid w:val="0042081E"/>
    <w:rsid w:val="00420E0C"/>
    <w:rsid w:val="00421989"/>
    <w:rsid w:val="00421C02"/>
    <w:rsid w:val="00422163"/>
    <w:rsid w:val="00422B00"/>
    <w:rsid w:val="00422F9A"/>
    <w:rsid w:val="0042331A"/>
    <w:rsid w:val="00423479"/>
    <w:rsid w:val="004240BB"/>
    <w:rsid w:val="00424B49"/>
    <w:rsid w:val="00424BC0"/>
    <w:rsid w:val="00424CD9"/>
    <w:rsid w:val="00424EE9"/>
    <w:rsid w:val="00425365"/>
    <w:rsid w:val="00425A9F"/>
    <w:rsid w:val="00425C82"/>
    <w:rsid w:val="004261C5"/>
    <w:rsid w:val="004267BD"/>
    <w:rsid w:val="00426D00"/>
    <w:rsid w:val="00427071"/>
    <w:rsid w:val="00427AC9"/>
    <w:rsid w:val="00427DF3"/>
    <w:rsid w:val="0043000A"/>
    <w:rsid w:val="0043033C"/>
    <w:rsid w:val="004304BD"/>
    <w:rsid w:val="00430A35"/>
    <w:rsid w:val="00430E1F"/>
    <w:rsid w:val="00431223"/>
    <w:rsid w:val="004312F7"/>
    <w:rsid w:val="004318F3"/>
    <w:rsid w:val="0043232C"/>
    <w:rsid w:val="00432C14"/>
    <w:rsid w:val="00432D80"/>
    <w:rsid w:val="00432EC8"/>
    <w:rsid w:val="00433ACC"/>
    <w:rsid w:val="004341E9"/>
    <w:rsid w:val="00434323"/>
    <w:rsid w:val="00434720"/>
    <w:rsid w:val="00434C76"/>
    <w:rsid w:val="00434CA4"/>
    <w:rsid w:val="00434F97"/>
    <w:rsid w:val="00436AF2"/>
    <w:rsid w:val="00436C1D"/>
    <w:rsid w:val="00436D44"/>
    <w:rsid w:val="004379FE"/>
    <w:rsid w:val="00440002"/>
    <w:rsid w:val="00440C07"/>
    <w:rsid w:val="00440C48"/>
    <w:rsid w:val="00440D83"/>
    <w:rsid w:val="00440E3B"/>
    <w:rsid w:val="0044111B"/>
    <w:rsid w:val="00441985"/>
    <w:rsid w:val="00441E7C"/>
    <w:rsid w:val="00441F13"/>
    <w:rsid w:val="00441FF4"/>
    <w:rsid w:val="004437DC"/>
    <w:rsid w:val="00443A4C"/>
    <w:rsid w:val="004443AB"/>
    <w:rsid w:val="00444624"/>
    <w:rsid w:val="0044486A"/>
    <w:rsid w:val="004448DB"/>
    <w:rsid w:val="004450D0"/>
    <w:rsid w:val="0044527B"/>
    <w:rsid w:val="00445D17"/>
    <w:rsid w:val="00445E64"/>
    <w:rsid w:val="00445F93"/>
    <w:rsid w:val="0044645D"/>
    <w:rsid w:val="00446746"/>
    <w:rsid w:val="00446778"/>
    <w:rsid w:val="00446AD1"/>
    <w:rsid w:val="00446FF5"/>
    <w:rsid w:val="004473E1"/>
    <w:rsid w:val="00447435"/>
    <w:rsid w:val="00447467"/>
    <w:rsid w:val="00447BE4"/>
    <w:rsid w:val="00447CC7"/>
    <w:rsid w:val="004501C4"/>
    <w:rsid w:val="0045342A"/>
    <w:rsid w:val="00453531"/>
    <w:rsid w:val="004539F3"/>
    <w:rsid w:val="00453E52"/>
    <w:rsid w:val="00453F61"/>
    <w:rsid w:val="00454DCF"/>
    <w:rsid w:val="00454F37"/>
    <w:rsid w:val="00455072"/>
    <w:rsid w:val="004551C5"/>
    <w:rsid w:val="0045536D"/>
    <w:rsid w:val="0045563A"/>
    <w:rsid w:val="00455C0B"/>
    <w:rsid w:val="00455F76"/>
    <w:rsid w:val="0045615C"/>
    <w:rsid w:val="00456918"/>
    <w:rsid w:val="00457452"/>
    <w:rsid w:val="00457539"/>
    <w:rsid w:val="00460676"/>
    <w:rsid w:val="00460959"/>
    <w:rsid w:val="00460A2F"/>
    <w:rsid w:val="00460DFC"/>
    <w:rsid w:val="00461390"/>
    <w:rsid w:val="00462344"/>
    <w:rsid w:val="00462792"/>
    <w:rsid w:val="00462882"/>
    <w:rsid w:val="00462DBD"/>
    <w:rsid w:val="00462DFC"/>
    <w:rsid w:val="00462EC3"/>
    <w:rsid w:val="00463713"/>
    <w:rsid w:val="00464A54"/>
    <w:rsid w:val="00464B57"/>
    <w:rsid w:val="00464F15"/>
    <w:rsid w:val="00465E1C"/>
    <w:rsid w:val="00466288"/>
    <w:rsid w:val="00466633"/>
    <w:rsid w:val="00466917"/>
    <w:rsid w:val="00466A68"/>
    <w:rsid w:val="00466E1F"/>
    <w:rsid w:val="00467A07"/>
    <w:rsid w:val="00467DDF"/>
    <w:rsid w:val="00467E6F"/>
    <w:rsid w:val="0047087C"/>
    <w:rsid w:val="004709CF"/>
    <w:rsid w:val="00470D72"/>
    <w:rsid w:val="0047104F"/>
    <w:rsid w:val="004712BA"/>
    <w:rsid w:val="004715DB"/>
    <w:rsid w:val="004717FC"/>
    <w:rsid w:val="00471DBD"/>
    <w:rsid w:val="00472AD8"/>
    <w:rsid w:val="00472C6D"/>
    <w:rsid w:val="00472D57"/>
    <w:rsid w:val="0047319E"/>
    <w:rsid w:val="0047343D"/>
    <w:rsid w:val="004737AB"/>
    <w:rsid w:val="004737D2"/>
    <w:rsid w:val="00474861"/>
    <w:rsid w:val="004749D1"/>
    <w:rsid w:val="004750E2"/>
    <w:rsid w:val="004756A4"/>
    <w:rsid w:val="0047572F"/>
    <w:rsid w:val="004757DD"/>
    <w:rsid w:val="00475A00"/>
    <w:rsid w:val="00475DE8"/>
    <w:rsid w:val="0047620B"/>
    <w:rsid w:val="004765C1"/>
    <w:rsid w:val="00476839"/>
    <w:rsid w:val="00477156"/>
    <w:rsid w:val="00477658"/>
    <w:rsid w:val="00477886"/>
    <w:rsid w:val="00480042"/>
    <w:rsid w:val="00480314"/>
    <w:rsid w:val="00480836"/>
    <w:rsid w:val="0048093C"/>
    <w:rsid w:val="00480C6C"/>
    <w:rsid w:val="004813F4"/>
    <w:rsid w:val="00481755"/>
    <w:rsid w:val="00481909"/>
    <w:rsid w:val="00483CE2"/>
    <w:rsid w:val="00483E6B"/>
    <w:rsid w:val="00483EBC"/>
    <w:rsid w:val="004842F9"/>
    <w:rsid w:val="004847E2"/>
    <w:rsid w:val="00484846"/>
    <w:rsid w:val="004856FD"/>
    <w:rsid w:val="0048633C"/>
    <w:rsid w:val="004865F3"/>
    <w:rsid w:val="00487507"/>
    <w:rsid w:val="00487663"/>
    <w:rsid w:val="004877CE"/>
    <w:rsid w:val="00487AA1"/>
    <w:rsid w:val="00487AA5"/>
    <w:rsid w:val="00487D87"/>
    <w:rsid w:val="0049089F"/>
    <w:rsid w:val="0049099D"/>
    <w:rsid w:val="00490E4A"/>
    <w:rsid w:val="00490E94"/>
    <w:rsid w:val="004913DD"/>
    <w:rsid w:val="004914C9"/>
    <w:rsid w:val="00491AF2"/>
    <w:rsid w:val="00491DE1"/>
    <w:rsid w:val="00491F25"/>
    <w:rsid w:val="00491FB0"/>
    <w:rsid w:val="00492077"/>
    <w:rsid w:val="004920BE"/>
    <w:rsid w:val="004922CB"/>
    <w:rsid w:val="004923E3"/>
    <w:rsid w:val="00492652"/>
    <w:rsid w:val="00492788"/>
    <w:rsid w:val="00492CC9"/>
    <w:rsid w:val="004930C9"/>
    <w:rsid w:val="004937B0"/>
    <w:rsid w:val="00493F13"/>
    <w:rsid w:val="00494169"/>
    <w:rsid w:val="004948F2"/>
    <w:rsid w:val="004954B5"/>
    <w:rsid w:val="00495607"/>
    <w:rsid w:val="00495774"/>
    <w:rsid w:val="00495F75"/>
    <w:rsid w:val="00496151"/>
    <w:rsid w:val="00496379"/>
    <w:rsid w:val="004968A8"/>
    <w:rsid w:val="004969CB"/>
    <w:rsid w:val="00496CB2"/>
    <w:rsid w:val="00496D6D"/>
    <w:rsid w:val="00497689"/>
    <w:rsid w:val="00497B8B"/>
    <w:rsid w:val="00497DD4"/>
    <w:rsid w:val="004A0111"/>
    <w:rsid w:val="004A0A58"/>
    <w:rsid w:val="004A0E9E"/>
    <w:rsid w:val="004A0FBA"/>
    <w:rsid w:val="004A1431"/>
    <w:rsid w:val="004A16AC"/>
    <w:rsid w:val="004A1B28"/>
    <w:rsid w:val="004A1C37"/>
    <w:rsid w:val="004A20D4"/>
    <w:rsid w:val="004A2BF9"/>
    <w:rsid w:val="004A2C3A"/>
    <w:rsid w:val="004A39B3"/>
    <w:rsid w:val="004A3A16"/>
    <w:rsid w:val="004A443B"/>
    <w:rsid w:val="004A5BC6"/>
    <w:rsid w:val="004A606E"/>
    <w:rsid w:val="004A6087"/>
    <w:rsid w:val="004A67DF"/>
    <w:rsid w:val="004A69F3"/>
    <w:rsid w:val="004A73AA"/>
    <w:rsid w:val="004B014F"/>
    <w:rsid w:val="004B0A99"/>
    <w:rsid w:val="004B0B98"/>
    <w:rsid w:val="004B14D9"/>
    <w:rsid w:val="004B1BF9"/>
    <w:rsid w:val="004B20AC"/>
    <w:rsid w:val="004B2450"/>
    <w:rsid w:val="004B317D"/>
    <w:rsid w:val="004B32FC"/>
    <w:rsid w:val="004B3567"/>
    <w:rsid w:val="004B39AC"/>
    <w:rsid w:val="004B3A7D"/>
    <w:rsid w:val="004B3CEC"/>
    <w:rsid w:val="004B4071"/>
    <w:rsid w:val="004B41CA"/>
    <w:rsid w:val="004B41D3"/>
    <w:rsid w:val="004B4228"/>
    <w:rsid w:val="004B4A3D"/>
    <w:rsid w:val="004B5ADF"/>
    <w:rsid w:val="004B5DC2"/>
    <w:rsid w:val="004B5EF3"/>
    <w:rsid w:val="004B6067"/>
    <w:rsid w:val="004B66C4"/>
    <w:rsid w:val="004B67FA"/>
    <w:rsid w:val="004B702C"/>
    <w:rsid w:val="004B7411"/>
    <w:rsid w:val="004B74DA"/>
    <w:rsid w:val="004B7A23"/>
    <w:rsid w:val="004B7C2B"/>
    <w:rsid w:val="004C009E"/>
    <w:rsid w:val="004C031E"/>
    <w:rsid w:val="004C0413"/>
    <w:rsid w:val="004C1CED"/>
    <w:rsid w:val="004C1F3B"/>
    <w:rsid w:val="004C2707"/>
    <w:rsid w:val="004C30CA"/>
    <w:rsid w:val="004C376F"/>
    <w:rsid w:val="004C431E"/>
    <w:rsid w:val="004C43B3"/>
    <w:rsid w:val="004C458A"/>
    <w:rsid w:val="004C4C7A"/>
    <w:rsid w:val="004C4E08"/>
    <w:rsid w:val="004C4F65"/>
    <w:rsid w:val="004C5DDA"/>
    <w:rsid w:val="004C5F4E"/>
    <w:rsid w:val="004C60F8"/>
    <w:rsid w:val="004C65C9"/>
    <w:rsid w:val="004C665A"/>
    <w:rsid w:val="004C6876"/>
    <w:rsid w:val="004C6BE5"/>
    <w:rsid w:val="004C6EDF"/>
    <w:rsid w:val="004C6F08"/>
    <w:rsid w:val="004C75F6"/>
    <w:rsid w:val="004C7DEF"/>
    <w:rsid w:val="004D0198"/>
    <w:rsid w:val="004D0314"/>
    <w:rsid w:val="004D0661"/>
    <w:rsid w:val="004D0892"/>
    <w:rsid w:val="004D0E36"/>
    <w:rsid w:val="004D15F0"/>
    <w:rsid w:val="004D1AD3"/>
    <w:rsid w:val="004D311F"/>
    <w:rsid w:val="004D377C"/>
    <w:rsid w:val="004D47C1"/>
    <w:rsid w:val="004D4B5F"/>
    <w:rsid w:val="004D4EF0"/>
    <w:rsid w:val="004D52E2"/>
    <w:rsid w:val="004D54BD"/>
    <w:rsid w:val="004D6524"/>
    <w:rsid w:val="004D68BE"/>
    <w:rsid w:val="004D6BD9"/>
    <w:rsid w:val="004D6CE6"/>
    <w:rsid w:val="004D7264"/>
    <w:rsid w:val="004D789A"/>
    <w:rsid w:val="004E0134"/>
    <w:rsid w:val="004E0695"/>
    <w:rsid w:val="004E081A"/>
    <w:rsid w:val="004E09DC"/>
    <w:rsid w:val="004E0F90"/>
    <w:rsid w:val="004E1162"/>
    <w:rsid w:val="004E13CC"/>
    <w:rsid w:val="004E15AE"/>
    <w:rsid w:val="004E1731"/>
    <w:rsid w:val="004E1D47"/>
    <w:rsid w:val="004E20A2"/>
    <w:rsid w:val="004E24CA"/>
    <w:rsid w:val="004E2A05"/>
    <w:rsid w:val="004E31BA"/>
    <w:rsid w:val="004E3436"/>
    <w:rsid w:val="004E3872"/>
    <w:rsid w:val="004E3966"/>
    <w:rsid w:val="004E39F8"/>
    <w:rsid w:val="004E3AFB"/>
    <w:rsid w:val="004E3D62"/>
    <w:rsid w:val="004E3DBA"/>
    <w:rsid w:val="004E4295"/>
    <w:rsid w:val="004E43D2"/>
    <w:rsid w:val="004E45A3"/>
    <w:rsid w:val="004E4646"/>
    <w:rsid w:val="004E46DA"/>
    <w:rsid w:val="004E4E79"/>
    <w:rsid w:val="004E59B2"/>
    <w:rsid w:val="004E5B4A"/>
    <w:rsid w:val="004E5E56"/>
    <w:rsid w:val="004E604F"/>
    <w:rsid w:val="004E73E8"/>
    <w:rsid w:val="004E74EC"/>
    <w:rsid w:val="004E7BF8"/>
    <w:rsid w:val="004E7DEA"/>
    <w:rsid w:val="004F03AF"/>
    <w:rsid w:val="004F04CD"/>
    <w:rsid w:val="004F0789"/>
    <w:rsid w:val="004F0914"/>
    <w:rsid w:val="004F141F"/>
    <w:rsid w:val="004F2000"/>
    <w:rsid w:val="004F2318"/>
    <w:rsid w:val="004F24FB"/>
    <w:rsid w:val="004F26ED"/>
    <w:rsid w:val="004F2F44"/>
    <w:rsid w:val="004F2F68"/>
    <w:rsid w:val="004F3176"/>
    <w:rsid w:val="004F3D32"/>
    <w:rsid w:val="004F4735"/>
    <w:rsid w:val="004F51D3"/>
    <w:rsid w:val="004F539C"/>
    <w:rsid w:val="004F5B6B"/>
    <w:rsid w:val="004F5B94"/>
    <w:rsid w:val="004F5BC4"/>
    <w:rsid w:val="004F63B9"/>
    <w:rsid w:val="004F709F"/>
    <w:rsid w:val="004F7288"/>
    <w:rsid w:val="004F767C"/>
    <w:rsid w:val="00500010"/>
    <w:rsid w:val="005001BC"/>
    <w:rsid w:val="00500BFA"/>
    <w:rsid w:val="00500DD6"/>
    <w:rsid w:val="005013E6"/>
    <w:rsid w:val="00501648"/>
    <w:rsid w:val="00501C83"/>
    <w:rsid w:val="005024E0"/>
    <w:rsid w:val="0050271A"/>
    <w:rsid w:val="00502E71"/>
    <w:rsid w:val="00502EA5"/>
    <w:rsid w:val="00503A88"/>
    <w:rsid w:val="005042A1"/>
    <w:rsid w:val="005042BC"/>
    <w:rsid w:val="00504C80"/>
    <w:rsid w:val="00505568"/>
    <w:rsid w:val="0050598A"/>
    <w:rsid w:val="005061E5"/>
    <w:rsid w:val="005062B4"/>
    <w:rsid w:val="00506384"/>
    <w:rsid w:val="00506F08"/>
    <w:rsid w:val="005074FD"/>
    <w:rsid w:val="00507B6A"/>
    <w:rsid w:val="005104CF"/>
    <w:rsid w:val="00510E7E"/>
    <w:rsid w:val="00510F27"/>
    <w:rsid w:val="00511504"/>
    <w:rsid w:val="005119C0"/>
    <w:rsid w:val="00511B57"/>
    <w:rsid w:val="00511EE9"/>
    <w:rsid w:val="005133D4"/>
    <w:rsid w:val="00513759"/>
    <w:rsid w:val="00514262"/>
    <w:rsid w:val="00514327"/>
    <w:rsid w:val="00514D54"/>
    <w:rsid w:val="00515531"/>
    <w:rsid w:val="005156C2"/>
    <w:rsid w:val="005159CD"/>
    <w:rsid w:val="00515C6E"/>
    <w:rsid w:val="005160E2"/>
    <w:rsid w:val="005161AD"/>
    <w:rsid w:val="00516BBA"/>
    <w:rsid w:val="00516CBD"/>
    <w:rsid w:val="00516EB9"/>
    <w:rsid w:val="005170B4"/>
    <w:rsid w:val="0051752A"/>
    <w:rsid w:val="00517CD0"/>
    <w:rsid w:val="00517F39"/>
    <w:rsid w:val="00517FBF"/>
    <w:rsid w:val="005203E7"/>
    <w:rsid w:val="005210FA"/>
    <w:rsid w:val="005211AC"/>
    <w:rsid w:val="0052127C"/>
    <w:rsid w:val="00521371"/>
    <w:rsid w:val="005214E2"/>
    <w:rsid w:val="00521531"/>
    <w:rsid w:val="00521617"/>
    <w:rsid w:val="005217E8"/>
    <w:rsid w:val="00522945"/>
    <w:rsid w:val="00523070"/>
    <w:rsid w:val="00523380"/>
    <w:rsid w:val="005239B7"/>
    <w:rsid w:val="00523BD2"/>
    <w:rsid w:val="00523CBE"/>
    <w:rsid w:val="00523FAF"/>
    <w:rsid w:val="00524146"/>
    <w:rsid w:val="00524613"/>
    <w:rsid w:val="00524713"/>
    <w:rsid w:val="00524C53"/>
    <w:rsid w:val="00524CB9"/>
    <w:rsid w:val="00524EA5"/>
    <w:rsid w:val="00525257"/>
    <w:rsid w:val="00525345"/>
    <w:rsid w:val="00525B14"/>
    <w:rsid w:val="00525B7E"/>
    <w:rsid w:val="00525D95"/>
    <w:rsid w:val="005260E6"/>
    <w:rsid w:val="0052633F"/>
    <w:rsid w:val="0052674D"/>
    <w:rsid w:val="00526B74"/>
    <w:rsid w:val="00526DB4"/>
    <w:rsid w:val="0052707E"/>
    <w:rsid w:val="00527332"/>
    <w:rsid w:val="00527901"/>
    <w:rsid w:val="00527AC5"/>
    <w:rsid w:val="00527EDB"/>
    <w:rsid w:val="0053043B"/>
    <w:rsid w:val="00530B61"/>
    <w:rsid w:val="00530FDE"/>
    <w:rsid w:val="0053152B"/>
    <w:rsid w:val="00531CF0"/>
    <w:rsid w:val="00531E6A"/>
    <w:rsid w:val="005320F7"/>
    <w:rsid w:val="0053266E"/>
    <w:rsid w:val="0053269F"/>
    <w:rsid w:val="0053288C"/>
    <w:rsid w:val="00532B67"/>
    <w:rsid w:val="00532B8D"/>
    <w:rsid w:val="00532E70"/>
    <w:rsid w:val="00533A1F"/>
    <w:rsid w:val="005342A1"/>
    <w:rsid w:val="005349F6"/>
    <w:rsid w:val="00534CF1"/>
    <w:rsid w:val="0053580A"/>
    <w:rsid w:val="0053590B"/>
    <w:rsid w:val="00535D0B"/>
    <w:rsid w:val="0053607E"/>
    <w:rsid w:val="00536119"/>
    <w:rsid w:val="00536390"/>
    <w:rsid w:val="0053646A"/>
    <w:rsid w:val="0053674A"/>
    <w:rsid w:val="00536EB8"/>
    <w:rsid w:val="0053709A"/>
    <w:rsid w:val="0053720F"/>
    <w:rsid w:val="00537407"/>
    <w:rsid w:val="00537415"/>
    <w:rsid w:val="00537739"/>
    <w:rsid w:val="00540A25"/>
    <w:rsid w:val="00540B24"/>
    <w:rsid w:val="005415DB"/>
    <w:rsid w:val="005416BB"/>
    <w:rsid w:val="005418E2"/>
    <w:rsid w:val="00541A87"/>
    <w:rsid w:val="00541CC7"/>
    <w:rsid w:val="00541D3C"/>
    <w:rsid w:val="005420B3"/>
    <w:rsid w:val="00542445"/>
    <w:rsid w:val="005426DA"/>
    <w:rsid w:val="0054272F"/>
    <w:rsid w:val="00542F7E"/>
    <w:rsid w:val="00543B10"/>
    <w:rsid w:val="00543FE7"/>
    <w:rsid w:val="00544139"/>
    <w:rsid w:val="00544D59"/>
    <w:rsid w:val="00545235"/>
    <w:rsid w:val="005452F5"/>
    <w:rsid w:val="00545A46"/>
    <w:rsid w:val="00546054"/>
    <w:rsid w:val="005466DD"/>
    <w:rsid w:val="00546765"/>
    <w:rsid w:val="00546871"/>
    <w:rsid w:val="00547229"/>
    <w:rsid w:val="00547850"/>
    <w:rsid w:val="00547879"/>
    <w:rsid w:val="005479F1"/>
    <w:rsid w:val="00547B59"/>
    <w:rsid w:val="00547D22"/>
    <w:rsid w:val="00547E58"/>
    <w:rsid w:val="00547FD8"/>
    <w:rsid w:val="00550288"/>
    <w:rsid w:val="005509A3"/>
    <w:rsid w:val="00550D79"/>
    <w:rsid w:val="005517D2"/>
    <w:rsid w:val="00551840"/>
    <w:rsid w:val="00551AB3"/>
    <w:rsid w:val="00551D2E"/>
    <w:rsid w:val="00552143"/>
    <w:rsid w:val="005523C9"/>
    <w:rsid w:val="00552767"/>
    <w:rsid w:val="0055294B"/>
    <w:rsid w:val="005529F1"/>
    <w:rsid w:val="00552DD1"/>
    <w:rsid w:val="00553279"/>
    <w:rsid w:val="0055332C"/>
    <w:rsid w:val="0055349C"/>
    <w:rsid w:val="005536CF"/>
    <w:rsid w:val="0055394B"/>
    <w:rsid w:val="00553C93"/>
    <w:rsid w:val="00553FA6"/>
    <w:rsid w:val="0055409C"/>
    <w:rsid w:val="00554124"/>
    <w:rsid w:val="0055413D"/>
    <w:rsid w:val="005544B3"/>
    <w:rsid w:val="005548D7"/>
    <w:rsid w:val="00554D59"/>
    <w:rsid w:val="00554E40"/>
    <w:rsid w:val="00554F97"/>
    <w:rsid w:val="00554FAB"/>
    <w:rsid w:val="005550E1"/>
    <w:rsid w:val="005554C2"/>
    <w:rsid w:val="00555ED2"/>
    <w:rsid w:val="00556745"/>
    <w:rsid w:val="00556C0A"/>
    <w:rsid w:val="00557038"/>
    <w:rsid w:val="00557071"/>
    <w:rsid w:val="005571CE"/>
    <w:rsid w:val="0055775F"/>
    <w:rsid w:val="00557B21"/>
    <w:rsid w:val="00557E0E"/>
    <w:rsid w:val="00557E48"/>
    <w:rsid w:val="00560BE0"/>
    <w:rsid w:val="00561891"/>
    <w:rsid w:val="00562A60"/>
    <w:rsid w:val="00562AE4"/>
    <w:rsid w:val="00564889"/>
    <w:rsid w:val="00564B27"/>
    <w:rsid w:val="00564C46"/>
    <w:rsid w:val="00564C9B"/>
    <w:rsid w:val="00564DE4"/>
    <w:rsid w:val="00564FA7"/>
    <w:rsid w:val="00565365"/>
    <w:rsid w:val="00565386"/>
    <w:rsid w:val="0056542C"/>
    <w:rsid w:val="005657D7"/>
    <w:rsid w:val="00565A20"/>
    <w:rsid w:val="00565BA1"/>
    <w:rsid w:val="00565BFE"/>
    <w:rsid w:val="005661AF"/>
    <w:rsid w:val="005668D1"/>
    <w:rsid w:val="0056691D"/>
    <w:rsid w:val="00567355"/>
    <w:rsid w:val="0056756C"/>
    <w:rsid w:val="005679D6"/>
    <w:rsid w:val="00567D22"/>
    <w:rsid w:val="00567F9E"/>
    <w:rsid w:val="00567FC1"/>
    <w:rsid w:val="00570058"/>
    <w:rsid w:val="0057013D"/>
    <w:rsid w:val="0057038E"/>
    <w:rsid w:val="00570A13"/>
    <w:rsid w:val="00570B11"/>
    <w:rsid w:val="005710C0"/>
    <w:rsid w:val="005718EC"/>
    <w:rsid w:val="00572252"/>
    <w:rsid w:val="00572297"/>
    <w:rsid w:val="00572482"/>
    <w:rsid w:val="005728D8"/>
    <w:rsid w:val="00572C96"/>
    <w:rsid w:val="00572D93"/>
    <w:rsid w:val="005730AB"/>
    <w:rsid w:val="005730C8"/>
    <w:rsid w:val="00573521"/>
    <w:rsid w:val="00573774"/>
    <w:rsid w:val="00573EAB"/>
    <w:rsid w:val="005748E5"/>
    <w:rsid w:val="005750C2"/>
    <w:rsid w:val="0057515A"/>
    <w:rsid w:val="00575BC1"/>
    <w:rsid w:val="005766AA"/>
    <w:rsid w:val="00576B32"/>
    <w:rsid w:val="00576DE4"/>
    <w:rsid w:val="00577129"/>
    <w:rsid w:val="005777C5"/>
    <w:rsid w:val="0058007A"/>
    <w:rsid w:val="00580937"/>
    <w:rsid w:val="00580CD8"/>
    <w:rsid w:val="00580F61"/>
    <w:rsid w:val="00580F93"/>
    <w:rsid w:val="00582103"/>
    <w:rsid w:val="005828F1"/>
    <w:rsid w:val="00582E34"/>
    <w:rsid w:val="00582F0A"/>
    <w:rsid w:val="005830F2"/>
    <w:rsid w:val="005835DA"/>
    <w:rsid w:val="00583C3B"/>
    <w:rsid w:val="005843CD"/>
    <w:rsid w:val="00585A77"/>
    <w:rsid w:val="00585ABE"/>
    <w:rsid w:val="00585DEE"/>
    <w:rsid w:val="00585E2D"/>
    <w:rsid w:val="00585F7D"/>
    <w:rsid w:val="00585FAF"/>
    <w:rsid w:val="0058606B"/>
    <w:rsid w:val="00586239"/>
    <w:rsid w:val="0058649D"/>
    <w:rsid w:val="005868D0"/>
    <w:rsid w:val="0058712F"/>
    <w:rsid w:val="005873D4"/>
    <w:rsid w:val="005875DB"/>
    <w:rsid w:val="00587800"/>
    <w:rsid w:val="00587993"/>
    <w:rsid w:val="00587B01"/>
    <w:rsid w:val="0059095A"/>
    <w:rsid w:val="00590BA5"/>
    <w:rsid w:val="00590F0B"/>
    <w:rsid w:val="005912B0"/>
    <w:rsid w:val="005914A0"/>
    <w:rsid w:val="0059164A"/>
    <w:rsid w:val="00591C47"/>
    <w:rsid w:val="00591C73"/>
    <w:rsid w:val="005922B5"/>
    <w:rsid w:val="005923EC"/>
    <w:rsid w:val="00592725"/>
    <w:rsid w:val="005928C5"/>
    <w:rsid w:val="00592E63"/>
    <w:rsid w:val="0059324C"/>
    <w:rsid w:val="00593297"/>
    <w:rsid w:val="005932E4"/>
    <w:rsid w:val="005935DA"/>
    <w:rsid w:val="0059381A"/>
    <w:rsid w:val="00593C34"/>
    <w:rsid w:val="00594879"/>
    <w:rsid w:val="005948A6"/>
    <w:rsid w:val="00594D73"/>
    <w:rsid w:val="00594E6B"/>
    <w:rsid w:val="00595AB2"/>
    <w:rsid w:val="00596854"/>
    <w:rsid w:val="00597031"/>
    <w:rsid w:val="005978A0"/>
    <w:rsid w:val="00597A30"/>
    <w:rsid w:val="00597A74"/>
    <w:rsid w:val="00597E5D"/>
    <w:rsid w:val="00597FA3"/>
    <w:rsid w:val="005A0129"/>
    <w:rsid w:val="005A0464"/>
    <w:rsid w:val="005A0EFB"/>
    <w:rsid w:val="005A1885"/>
    <w:rsid w:val="005A21BC"/>
    <w:rsid w:val="005A2571"/>
    <w:rsid w:val="005A3963"/>
    <w:rsid w:val="005A3CA5"/>
    <w:rsid w:val="005A44CA"/>
    <w:rsid w:val="005A4CCA"/>
    <w:rsid w:val="005A53AD"/>
    <w:rsid w:val="005A5A32"/>
    <w:rsid w:val="005A5C2A"/>
    <w:rsid w:val="005A5C9B"/>
    <w:rsid w:val="005A6AC4"/>
    <w:rsid w:val="005A6AE8"/>
    <w:rsid w:val="005A7007"/>
    <w:rsid w:val="005A72D7"/>
    <w:rsid w:val="005A73B5"/>
    <w:rsid w:val="005A7911"/>
    <w:rsid w:val="005A7BE4"/>
    <w:rsid w:val="005A7EBB"/>
    <w:rsid w:val="005B035A"/>
    <w:rsid w:val="005B0468"/>
    <w:rsid w:val="005B0BCF"/>
    <w:rsid w:val="005B10D9"/>
    <w:rsid w:val="005B1589"/>
    <w:rsid w:val="005B197F"/>
    <w:rsid w:val="005B1C5D"/>
    <w:rsid w:val="005B2017"/>
    <w:rsid w:val="005B2434"/>
    <w:rsid w:val="005B2748"/>
    <w:rsid w:val="005B2B3E"/>
    <w:rsid w:val="005B2C29"/>
    <w:rsid w:val="005B2DF0"/>
    <w:rsid w:val="005B32E1"/>
    <w:rsid w:val="005B3401"/>
    <w:rsid w:val="005B3653"/>
    <w:rsid w:val="005B3700"/>
    <w:rsid w:val="005B372F"/>
    <w:rsid w:val="005B3AF5"/>
    <w:rsid w:val="005B4024"/>
    <w:rsid w:val="005B415D"/>
    <w:rsid w:val="005B41BF"/>
    <w:rsid w:val="005B4374"/>
    <w:rsid w:val="005B4559"/>
    <w:rsid w:val="005B4689"/>
    <w:rsid w:val="005B4C2D"/>
    <w:rsid w:val="005B5237"/>
    <w:rsid w:val="005B54E9"/>
    <w:rsid w:val="005B5773"/>
    <w:rsid w:val="005B5BCD"/>
    <w:rsid w:val="005B6604"/>
    <w:rsid w:val="005B6999"/>
    <w:rsid w:val="005B6C1F"/>
    <w:rsid w:val="005B7212"/>
    <w:rsid w:val="005B77C7"/>
    <w:rsid w:val="005B79D1"/>
    <w:rsid w:val="005B7B29"/>
    <w:rsid w:val="005B7BF4"/>
    <w:rsid w:val="005C0F0A"/>
    <w:rsid w:val="005C109C"/>
    <w:rsid w:val="005C1D39"/>
    <w:rsid w:val="005C1D42"/>
    <w:rsid w:val="005C2439"/>
    <w:rsid w:val="005C2746"/>
    <w:rsid w:val="005C2B9F"/>
    <w:rsid w:val="005C2F7B"/>
    <w:rsid w:val="005C32A6"/>
    <w:rsid w:val="005C3A1E"/>
    <w:rsid w:val="005C3FEE"/>
    <w:rsid w:val="005C408D"/>
    <w:rsid w:val="005C4796"/>
    <w:rsid w:val="005C4CC2"/>
    <w:rsid w:val="005C4E3B"/>
    <w:rsid w:val="005C4F64"/>
    <w:rsid w:val="005C5AE4"/>
    <w:rsid w:val="005C5C59"/>
    <w:rsid w:val="005C5E87"/>
    <w:rsid w:val="005C5F0E"/>
    <w:rsid w:val="005C60CB"/>
    <w:rsid w:val="005C64A4"/>
    <w:rsid w:val="005C6A2F"/>
    <w:rsid w:val="005C70EE"/>
    <w:rsid w:val="005C71AA"/>
    <w:rsid w:val="005C73FB"/>
    <w:rsid w:val="005C7C55"/>
    <w:rsid w:val="005C7FB2"/>
    <w:rsid w:val="005D051A"/>
    <w:rsid w:val="005D08F9"/>
    <w:rsid w:val="005D0A1C"/>
    <w:rsid w:val="005D114B"/>
    <w:rsid w:val="005D2250"/>
    <w:rsid w:val="005D25CB"/>
    <w:rsid w:val="005D30DB"/>
    <w:rsid w:val="005D3640"/>
    <w:rsid w:val="005D3712"/>
    <w:rsid w:val="005D3747"/>
    <w:rsid w:val="005D4088"/>
    <w:rsid w:val="005D43CB"/>
    <w:rsid w:val="005D4951"/>
    <w:rsid w:val="005D6209"/>
    <w:rsid w:val="005D6312"/>
    <w:rsid w:val="005D707E"/>
    <w:rsid w:val="005D7574"/>
    <w:rsid w:val="005D77BD"/>
    <w:rsid w:val="005D7867"/>
    <w:rsid w:val="005D7EEA"/>
    <w:rsid w:val="005D7F1C"/>
    <w:rsid w:val="005E0670"/>
    <w:rsid w:val="005E0989"/>
    <w:rsid w:val="005E0A3F"/>
    <w:rsid w:val="005E0EE0"/>
    <w:rsid w:val="005E0F68"/>
    <w:rsid w:val="005E0FB0"/>
    <w:rsid w:val="005E12E0"/>
    <w:rsid w:val="005E1717"/>
    <w:rsid w:val="005E1A9F"/>
    <w:rsid w:val="005E1E33"/>
    <w:rsid w:val="005E2907"/>
    <w:rsid w:val="005E2B9E"/>
    <w:rsid w:val="005E3057"/>
    <w:rsid w:val="005E3375"/>
    <w:rsid w:val="005E3957"/>
    <w:rsid w:val="005E3A2A"/>
    <w:rsid w:val="005E3EA2"/>
    <w:rsid w:val="005E42E3"/>
    <w:rsid w:val="005E5002"/>
    <w:rsid w:val="005E50DF"/>
    <w:rsid w:val="005E53B2"/>
    <w:rsid w:val="005E53F6"/>
    <w:rsid w:val="005E59EE"/>
    <w:rsid w:val="005E5D7B"/>
    <w:rsid w:val="005E6014"/>
    <w:rsid w:val="005E6143"/>
    <w:rsid w:val="005E618A"/>
    <w:rsid w:val="005E6419"/>
    <w:rsid w:val="005E6475"/>
    <w:rsid w:val="005E661E"/>
    <w:rsid w:val="005E670D"/>
    <w:rsid w:val="005E6B8D"/>
    <w:rsid w:val="005E6F26"/>
    <w:rsid w:val="005E7BE5"/>
    <w:rsid w:val="005E7E1E"/>
    <w:rsid w:val="005F09AA"/>
    <w:rsid w:val="005F0E48"/>
    <w:rsid w:val="005F120A"/>
    <w:rsid w:val="005F1247"/>
    <w:rsid w:val="005F12B4"/>
    <w:rsid w:val="005F162B"/>
    <w:rsid w:val="005F1F3A"/>
    <w:rsid w:val="005F282D"/>
    <w:rsid w:val="005F32FC"/>
    <w:rsid w:val="005F33C2"/>
    <w:rsid w:val="005F374A"/>
    <w:rsid w:val="005F3781"/>
    <w:rsid w:val="005F3C83"/>
    <w:rsid w:val="005F4066"/>
    <w:rsid w:val="005F411A"/>
    <w:rsid w:val="005F4CC4"/>
    <w:rsid w:val="005F4EE3"/>
    <w:rsid w:val="005F5068"/>
    <w:rsid w:val="005F585D"/>
    <w:rsid w:val="005F5AD1"/>
    <w:rsid w:val="005F5F63"/>
    <w:rsid w:val="005F6133"/>
    <w:rsid w:val="005F65F9"/>
    <w:rsid w:val="005F661F"/>
    <w:rsid w:val="005F6BAB"/>
    <w:rsid w:val="005F6D10"/>
    <w:rsid w:val="005F6E29"/>
    <w:rsid w:val="005F7245"/>
    <w:rsid w:val="005F76BD"/>
    <w:rsid w:val="005F770F"/>
    <w:rsid w:val="005F7C0E"/>
    <w:rsid w:val="0060032E"/>
    <w:rsid w:val="006004E2"/>
    <w:rsid w:val="006006E5"/>
    <w:rsid w:val="00600794"/>
    <w:rsid w:val="00600C91"/>
    <w:rsid w:val="00601B4A"/>
    <w:rsid w:val="00601C10"/>
    <w:rsid w:val="00601C6D"/>
    <w:rsid w:val="00601D77"/>
    <w:rsid w:val="00601E0C"/>
    <w:rsid w:val="00601E59"/>
    <w:rsid w:val="00601F31"/>
    <w:rsid w:val="006029EF"/>
    <w:rsid w:val="006031AD"/>
    <w:rsid w:val="00603524"/>
    <w:rsid w:val="00603C32"/>
    <w:rsid w:val="00603D3A"/>
    <w:rsid w:val="006040AB"/>
    <w:rsid w:val="006043AE"/>
    <w:rsid w:val="00604699"/>
    <w:rsid w:val="006046D4"/>
    <w:rsid w:val="0060482E"/>
    <w:rsid w:val="00604F99"/>
    <w:rsid w:val="00605251"/>
    <w:rsid w:val="00605D5C"/>
    <w:rsid w:val="006062A6"/>
    <w:rsid w:val="00606840"/>
    <w:rsid w:val="006073CE"/>
    <w:rsid w:val="0060764B"/>
    <w:rsid w:val="00607658"/>
    <w:rsid w:val="00607B0C"/>
    <w:rsid w:val="00610BF6"/>
    <w:rsid w:val="00610DF4"/>
    <w:rsid w:val="00610E61"/>
    <w:rsid w:val="00611140"/>
    <w:rsid w:val="006114AE"/>
    <w:rsid w:val="006124DD"/>
    <w:rsid w:val="006127AB"/>
    <w:rsid w:val="0061290D"/>
    <w:rsid w:val="00612DE7"/>
    <w:rsid w:val="006130EE"/>
    <w:rsid w:val="00613123"/>
    <w:rsid w:val="006131CE"/>
    <w:rsid w:val="006138C0"/>
    <w:rsid w:val="00613A29"/>
    <w:rsid w:val="00613AA5"/>
    <w:rsid w:val="00613EF5"/>
    <w:rsid w:val="0061441E"/>
    <w:rsid w:val="006147E5"/>
    <w:rsid w:val="006149DB"/>
    <w:rsid w:val="00615836"/>
    <w:rsid w:val="00615D2C"/>
    <w:rsid w:val="00615DFD"/>
    <w:rsid w:val="00615E6C"/>
    <w:rsid w:val="00616104"/>
    <w:rsid w:val="0061611D"/>
    <w:rsid w:val="00616AAF"/>
    <w:rsid w:val="006173C1"/>
    <w:rsid w:val="00617584"/>
    <w:rsid w:val="006176D9"/>
    <w:rsid w:val="00617B03"/>
    <w:rsid w:val="00617E61"/>
    <w:rsid w:val="0062059F"/>
    <w:rsid w:val="00620605"/>
    <w:rsid w:val="00620751"/>
    <w:rsid w:val="006207FA"/>
    <w:rsid w:val="006211CD"/>
    <w:rsid w:val="00621247"/>
    <w:rsid w:val="006226A2"/>
    <w:rsid w:val="00622BD3"/>
    <w:rsid w:val="00622E44"/>
    <w:rsid w:val="00623453"/>
    <w:rsid w:val="00623C52"/>
    <w:rsid w:val="00623CD9"/>
    <w:rsid w:val="00624692"/>
    <w:rsid w:val="006248CA"/>
    <w:rsid w:val="00624A65"/>
    <w:rsid w:val="00625445"/>
    <w:rsid w:val="00625876"/>
    <w:rsid w:val="0062612B"/>
    <w:rsid w:val="006267F7"/>
    <w:rsid w:val="0062731C"/>
    <w:rsid w:val="006308FC"/>
    <w:rsid w:val="006309E0"/>
    <w:rsid w:val="006311F1"/>
    <w:rsid w:val="006314C2"/>
    <w:rsid w:val="00631843"/>
    <w:rsid w:val="00631C37"/>
    <w:rsid w:val="0063209E"/>
    <w:rsid w:val="006320EC"/>
    <w:rsid w:val="0063233E"/>
    <w:rsid w:val="0063260C"/>
    <w:rsid w:val="006326C5"/>
    <w:rsid w:val="00632A6F"/>
    <w:rsid w:val="00632AF3"/>
    <w:rsid w:val="00633754"/>
    <w:rsid w:val="006337E6"/>
    <w:rsid w:val="00633965"/>
    <w:rsid w:val="0063405A"/>
    <w:rsid w:val="00635743"/>
    <w:rsid w:val="00635AD4"/>
    <w:rsid w:val="00636B48"/>
    <w:rsid w:val="00636CD7"/>
    <w:rsid w:val="00636CE4"/>
    <w:rsid w:val="0063794E"/>
    <w:rsid w:val="00637AF9"/>
    <w:rsid w:val="00640454"/>
    <w:rsid w:val="0064046C"/>
    <w:rsid w:val="006406EE"/>
    <w:rsid w:val="00641023"/>
    <w:rsid w:val="006412EB"/>
    <w:rsid w:val="00641482"/>
    <w:rsid w:val="00641A26"/>
    <w:rsid w:val="00641E21"/>
    <w:rsid w:val="0064274E"/>
    <w:rsid w:val="00642AF6"/>
    <w:rsid w:val="00642E5B"/>
    <w:rsid w:val="00642EEF"/>
    <w:rsid w:val="0064302D"/>
    <w:rsid w:val="006438FE"/>
    <w:rsid w:val="006440AB"/>
    <w:rsid w:val="00644788"/>
    <w:rsid w:val="00644D2E"/>
    <w:rsid w:val="006459AD"/>
    <w:rsid w:val="006464AC"/>
    <w:rsid w:val="006466C6"/>
    <w:rsid w:val="006469C2"/>
    <w:rsid w:val="00646A3A"/>
    <w:rsid w:val="00646F69"/>
    <w:rsid w:val="00647013"/>
    <w:rsid w:val="00647C7E"/>
    <w:rsid w:val="00650178"/>
    <w:rsid w:val="006502ED"/>
    <w:rsid w:val="006505BB"/>
    <w:rsid w:val="00650C67"/>
    <w:rsid w:val="006512F0"/>
    <w:rsid w:val="00651354"/>
    <w:rsid w:val="0065135E"/>
    <w:rsid w:val="006517D3"/>
    <w:rsid w:val="00651ADF"/>
    <w:rsid w:val="00651FFE"/>
    <w:rsid w:val="006525FA"/>
    <w:rsid w:val="00652861"/>
    <w:rsid w:val="00652911"/>
    <w:rsid w:val="00652B05"/>
    <w:rsid w:val="00652BF0"/>
    <w:rsid w:val="00652F60"/>
    <w:rsid w:val="00652FB4"/>
    <w:rsid w:val="00653B3C"/>
    <w:rsid w:val="00653F1C"/>
    <w:rsid w:val="0065423E"/>
    <w:rsid w:val="00654637"/>
    <w:rsid w:val="0065486D"/>
    <w:rsid w:val="00654A03"/>
    <w:rsid w:val="00654CF7"/>
    <w:rsid w:val="00654D82"/>
    <w:rsid w:val="00654FEE"/>
    <w:rsid w:val="0065544D"/>
    <w:rsid w:val="006554E5"/>
    <w:rsid w:val="00655915"/>
    <w:rsid w:val="00656380"/>
    <w:rsid w:val="00656AE0"/>
    <w:rsid w:val="00656BDE"/>
    <w:rsid w:val="00656DBF"/>
    <w:rsid w:val="00657160"/>
    <w:rsid w:val="006573F5"/>
    <w:rsid w:val="006576B5"/>
    <w:rsid w:val="006577FA"/>
    <w:rsid w:val="006600B7"/>
    <w:rsid w:val="00660629"/>
    <w:rsid w:val="006608F8"/>
    <w:rsid w:val="00660C93"/>
    <w:rsid w:val="00661B4C"/>
    <w:rsid w:val="00661BE3"/>
    <w:rsid w:val="00662282"/>
    <w:rsid w:val="006629AB"/>
    <w:rsid w:val="0066339D"/>
    <w:rsid w:val="006637F7"/>
    <w:rsid w:val="00663ECC"/>
    <w:rsid w:val="00664431"/>
    <w:rsid w:val="00664474"/>
    <w:rsid w:val="0066448E"/>
    <w:rsid w:val="0066459B"/>
    <w:rsid w:val="00664D95"/>
    <w:rsid w:val="00664FC5"/>
    <w:rsid w:val="00665539"/>
    <w:rsid w:val="00665594"/>
    <w:rsid w:val="0066586D"/>
    <w:rsid w:val="006658F0"/>
    <w:rsid w:val="00665DDF"/>
    <w:rsid w:val="00665F0E"/>
    <w:rsid w:val="006662BA"/>
    <w:rsid w:val="00666332"/>
    <w:rsid w:val="0066642F"/>
    <w:rsid w:val="006666FD"/>
    <w:rsid w:val="00666DDF"/>
    <w:rsid w:val="006673D9"/>
    <w:rsid w:val="00667620"/>
    <w:rsid w:val="006678C9"/>
    <w:rsid w:val="00667D51"/>
    <w:rsid w:val="00667DB3"/>
    <w:rsid w:val="006703D5"/>
    <w:rsid w:val="00670491"/>
    <w:rsid w:val="00670B23"/>
    <w:rsid w:val="00670F01"/>
    <w:rsid w:val="00670F08"/>
    <w:rsid w:val="00671112"/>
    <w:rsid w:val="006711CD"/>
    <w:rsid w:val="00671274"/>
    <w:rsid w:val="006714CE"/>
    <w:rsid w:val="00671C11"/>
    <w:rsid w:val="00671FC2"/>
    <w:rsid w:val="00672021"/>
    <w:rsid w:val="006724B7"/>
    <w:rsid w:val="00672626"/>
    <w:rsid w:val="00672876"/>
    <w:rsid w:val="006729FC"/>
    <w:rsid w:val="00672DD5"/>
    <w:rsid w:val="00672F78"/>
    <w:rsid w:val="0067339C"/>
    <w:rsid w:val="006734BE"/>
    <w:rsid w:val="006735F3"/>
    <w:rsid w:val="00673A06"/>
    <w:rsid w:val="00673D32"/>
    <w:rsid w:val="00674859"/>
    <w:rsid w:val="00675366"/>
    <w:rsid w:val="006759CB"/>
    <w:rsid w:val="00675D32"/>
    <w:rsid w:val="00675E99"/>
    <w:rsid w:val="006760DF"/>
    <w:rsid w:val="0067611A"/>
    <w:rsid w:val="00676157"/>
    <w:rsid w:val="0067626D"/>
    <w:rsid w:val="0067642C"/>
    <w:rsid w:val="00676A74"/>
    <w:rsid w:val="00676B58"/>
    <w:rsid w:val="00676D5D"/>
    <w:rsid w:val="00680148"/>
    <w:rsid w:val="00680F5B"/>
    <w:rsid w:val="006815AE"/>
    <w:rsid w:val="00682164"/>
    <w:rsid w:val="006821A3"/>
    <w:rsid w:val="0068230C"/>
    <w:rsid w:val="0068246C"/>
    <w:rsid w:val="00682BA5"/>
    <w:rsid w:val="00682FA5"/>
    <w:rsid w:val="0068316A"/>
    <w:rsid w:val="006834D8"/>
    <w:rsid w:val="006835B1"/>
    <w:rsid w:val="00683AC0"/>
    <w:rsid w:val="00683CCE"/>
    <w:rsid w:val="00683DEA"/>
    <w:rsid w:val="00683F05"/>
    <w:rsid w:val="006843EE"/>
    <w:rsid w:val="00684B43"/>
    <w:rsid w:val="00684D70"/>
    <w:rsid w:val="0068510C"/>
    <w:rsid w:val="006858F0"/>
    <w:rsid w:val="00685937"/>
    <w:rsid w:val="00685DBD"/>
    <w:rsid w:val="0068612F"/>
    <w:rsid w:val="00686EF0"/>
    <w:rsid w:val="00687B93"/>
    <w:rsid w:val="00687E4C"/>
    <w:rsid w:val="00687F21"/>
    <w:rsid w:val="0069072A"/>
    <w:rsid w:val="00690A36"/>
    <w:rsid w:val="00690B2B"/>
    <w:rsid w:val="00690C85"/>
    <w:rsid w:val="0069106C"/>
    <w:rsid w:val="0069113C"/>
    <w:rsid w:val="00691433"/>
    <w:rsid w:val="006914E7"/>
    <w:rsid w:val="006916AA"/>
    <w:rsid w:val="00691C48"/>
    <w:rsid w:val="00691D6E"/>
    <w:rsid w:val="00692436"/>
    <w:rsid w:val="00692D16"/>
    <w:rsid w:val="00692FF7"/>
    <w:rsid w:val="006930BD"/>
    <w:rsid w:val="0069324C"/>
    <w:rsid w:val="006932EF"/>
    <w:rsid w:val="006935B3"/>
    <w:rsid w:val="0069394E"/>
    <w:rsid w:val="006943A2"/>
    <w:rsid w:val="00694761"/>
    <w:rsid w:val="00694840"/>
    <w:rsid w:val="00694B05"/>
    <w:rsid w:val="00694DF8"/>
    <w:rsid w:val="0069509B"/>
    <w:rsid w:val="006951E2"/>
    <w:rsid w:val="00695A32"/>
    <w:rsid w:val="006960FC"/>
    <w:rsid w:val="006964C6"/>
    <w:rsid w:val="00696852"/>
    <w:rsid w:val="00696F4C"/>
    <w:rsid w:val="00697379"/>
    <w:rsid w:val="00697393"/>
    <w:rsid w:val="006976BB"/>
    <w:rsid w:val="006977BF"/>
    <w:rsid w:val="006978ED"/>
    <w:rsid w:val="00697AF3"/>
    <w:rsid w:val="006A015F"/>
    <w:rsid w:val="006A114F"/>
    <w:rsid w:val="006A1624"/>
    <w:rsid w:val="006A184C"/>
    <w:rsid w:val="006A2C78"/>
    <w:rsid w:val="006A3481"/>
    <w:rsid w:val="006A361D"/>
    <w:rsid w:val="006A3870"/>
    <w:rsid w:val="006A3AF9"/>
    <w:rsid w:val="006A433E"/>
    <w:rsid w:val="006A454B"/>
    <w:rsid w:val="006A46C0"/>
    <w:rsid w:val="006A4D83"/>
    <w:rsid w:val="006A4E72"/>
    <w:rsid w:val="006A4F97"/>
    <w:rsid w:val="006A52EE"/>
    <w:rsid w:val="006A6E5D"/>
    <w:rsid w:val="006A756A"/>
    <w:rsid w:val="006A7E3F"/>
    <w:rsid w:val="006B012B"/>
    <w:rsid w:val="006B020C"/>
    <w:rsid w:val="006B07A9"/>
    <w:rsid w:val="006B1105"/>
    <w:rsid w:val="006B1158"/>
    <w:rsid w:val="006B15AD"/>
    <w:rsid w:val="006B1B76"/>
    <w:rsid w:val="006B21C9"/>
    <w:rsid w:val="006B3446"/>
    <w:rsid w:val="006B38BE"/>
    <w:rsid w:val="006B3921"/>
    <w:rsid w:val="006B3D8C"/>
    <w:rsid w:val="006B4618"/>
    <w:rsid w:val="006B4AFB"/>
    <w:rsid w:val="006B4F01"/>
    <w:rsid w:val="006B58A1"/>
    <w:rsid w:val="006B5C2D"/>
    <w:rsid w:val="006B618C"/>
    <w:rsid w:val="006B70F4"/>
    <w:rsid w:val="006B7470"/>
    <w:rsid w:val="006B74D3"/>
    <w:rsid w:val="006B7656"/>
    <w:rsid w:val="006B7810"/>
    <w:rsid w:val="006B7845"/>
    <w:rsid w:val="006B7867"/>
    <w:rsid w:val="006C00BB"/>
    <w:rsid w:val="006C0638"/>
    <w:rsid w:val="006C09E4"/>
    <w:rsid w:val="006C0B2A"/>
    <w:rsid w:val="006C0ED8"/>
    <w:rsid w:val="006C102B"/>
    <w:rsid w:val="006C1144"/>
    <w:rsid w:val="006C1185"/>
    <w:rsid w:val="006C16F4"/>
    <w:rsid w:val="006C1B63"/>
    <w:rsid w:val="006C1F97"/>
    <w:rsid w:val="006C2872"/>
    <w:rsid w:val="006C2881"/>
    <w:rsid w:val="006C2E25"/>
    <w:rsid w:val="006C3181"/>
    <w:rsid w:val="006C3DDE"/>
    <w:rsid w:val="006C4C5E"/>
    <w:rsid w:val="006C57B2"/>
    <w:rsid w:val="006C6B6F"/>
    <w:rsid w:val="006C722C"/>
    <w:rsid w:val="006C7528"/>
    <w:rsid w:val="006C77ED"/>
    <w:rsid w:val="006C783F"/>
    <w:rsid w:val="006C798A"/>
    <w:rsid w:val="006C7A48"/>
    <w:rsid w:val="006C7E40"/>
    <w:rsid w:val="006D05DB"/>
    <w:rsid w:val="006D0894"/>
    <w:rsid w:val="006D1564"/>
    <w:rsid w:val="006D179A"/>
    <w:rsid w:val="006D1C4F"/>
    <w:rsid w:val="006D1EAB"/>
    <w:rsid w:val="006D21E9"/>
    <w:rsid w:val="006D22F6"/>
    <w:rsid w:val="006D257F"/>
    <w:rsid w:val="006D311A"/>
    <w:rsid w:val="006D341F"/>
    <w:rsid w:val="006D35EA"/>
    <w:rsid w:val="006D37AF"/>
    <w:rsid w:val="006D3A1F"/>
    <w:rsid w:val="006D3A52"/>
    <w:rsid w:val="006D4177"/>
    <w:rsid w:val="006D4403"/>
    <w:rsid w:val="006D4720"/>
    <w:rsid w:val="006D47E1"/>
    <w:rsid w:val="006D4DF2"/>
    <w:rsid w:val="006D4FA9"/>
    <w:rsid w:val="006D5019"/>
    <w:rsid w:val="006D501E"/>
    <w:rsid w:val="006D50CD"/>
    <w:rsid w:val="006D5274"/>
    <w:rsid w:val="006D5A63"/>
    <w:rsid w:val="006D5B26"/>
    <w:rsid w:val="006D5D56"/>
    <w:rsid w:val="006D66F4"/>
    <w:rsid w:val="006D6D49"/>
    <w:rsid w:val="006D6DB7"/>
    <w:rsid w:val="006D70E0"/>
    <w:rsid w:val="006D7856"/>
    <w:rsid w:val="006D7A8B"/>
    <w:rsid w:val="006E0181"/>
    <w:rsid w:val="006E0F71"/>
    <w:rsid w:val="006E13AE"/>
    <w:rsid w:val="006E16AA"/>
    <w:rsid w:val="006E1F6D"/>
    <w:rsid w:val="006E1F92"/>
    <w:rsid w:val="006E2A14"/>
    <w:rsid w:val="006E3227"/>
    <w:rsid w:val="006E3498"/>
    <w:rsid w:val="006E34A1"/>
    <w:rsid w:val="006E3841"/>
    <w:rsid w:val="006E3C64"/>
    <w:rsid w:val="006E3D8A"/>
    <w:rsid w:val="006E4199"/>
    <w:rsid w:val="006E43F6"/>
    <w:rsid w:val="006E450A"/>
    <w:rsid w:val="006E46D5"/>
    <w:rsid w:val="006E4CA2"/>
    <w:rsid w:val="006E4D80"/>
    <w:rsid w:val="006E4E3E"/>
    <w:rsid w:val="006E50B6"/>
    <w:rsid w:val="006E532B"/>
    <w:rsid w:val="006E5464"/>
    <w:rsid w:val="006E5EE8"/>
    <w:rsid w:val="006E6B3E"/>
    <w:rsid w:val="006E6D3C"/>
    <w:rsid w:val="006E6E49"/>
    <w:rsid w:val="006E7108"/>
    <w:rsid w:val="006E718A"/>
    <w:rsid w:val="006E71F1"/>
    <w:rsid w:val="006E78A2"/>
    <w:rsid w:val="006E7D1E"/>
    <w:rsid w:val="006F061A"/>
    <w:rsid w:val="006F0766"/>
    <w:rsid w:val="006F0B1D"/>
    <w:rsid w:val="006F0F53"/>
    <w:rsid w:val="006F195F"/>
    <w:rsid w:val="006F1CEE"/>
    <w:rsid w:val="006F1F96"/>
    <w:rsid w:val="006F21DA"/>
    <w:rsid w:val="006F2870"/>
    <w:rsid w:val="006F28CA"/>
    <w:rsid w:val="006F2D05"/>
    <w:rsid w:val="006F2DD0"/>
    <w:rsid w:val="006F3552"/>
    <w:rsid w:val="006F3AED"/>
    <w:rsid w:val="006F434D"/>
    <w:rsid w:val="006F5A43"/>
    <w:rsid w:val="006F618D"/>
    <w:rsid w:val="006F61DF"/>
    <w:rsid w:val="006F650B"/>
    <w:rsid w:val="006F67AF"/>
    <w:rsid w:val="006F69CF"/>
    <w:rsid w:val="006F70EF"/>
    <w:rsid w:val="007014EC"/>
    <w:rsid w:val="007018F0"/>
    <w:rsid w:val="007019F6"/>
    <w:rsid w:val="00701F04"/>
    <w:rsid w:val="007024FD"/>
    <w:rsid w:val="0070267F"/>
    <w:rsid w:val="00702733"/>
    <w:rsid w:val="00702CAB"/>
    <w:rsid w:val="00703521"/>
    <w:rsid w:val="00703732"/>
    <w:rsid w:val="0070383F"/>
    <w:rsid w:val="00703DA0"/>
    <w:rsid w:val="0070438D"/>
    <w:rsid w:val="00704407"/>
    <w:rsid w:val="00704D58"/>
    <w:rsid w:val="00704FF7"/>
    <w:rsid w:val="007052B0"/>
    <w:rsid w:val="00705558"/>
    <w:rsid w:val="00705B86"/>
    <w:rsid w:val="00705E27"/>
    <w:rsid w:val="00705F5D"/>
    <w:rsid w:val="007061E9"/>
    <w:rsid w:val="007064D2"/>
    <w:rsid w:val="00706583"/>
    <w:rsid w:val="007069ED"/>
    <w:rsid w:val="00707AA3"/>
    <w:rsid w:val="007102A7"/>
    <w:rsid w:val="007103DD"/>
    <w:rsid w:val="007107DF"/>
    <w:rsid w:val="007108F1"/>
    <w:rsid w:val="00710FA6"/>
    <w:rsid w:val="00710FBC"/>
    <w:rsid w:val="007110D8"/>
    <w:rsid w:val="00711275"/>
    <w:rsid w:val="0071162B"/>
    <w:rsid w:val="00711F81"/>
    <w:rsid w:val="0071251B"/>
    <w:rsid w:val="007125DE"/>
    <w:rsid w:val="00712750"/>
    <w:rsid w:val="00712967"/>
    <w:rsid w:val="00712E4D"/>
    <w:rsid w:val="0071312F"/>
    <w:rsid w:val="0071384D"/>
    <w:rsid w:val="00713A49"/>
    <w:rsid w:val="00713A52"/>
    <w:rsid w:val="00713B49"/>
    <w:rsid w:val="00713BA4"/>
    <w:rsid w:val="00713BAD"/>
    <w:rsid w:val="00713CCA"/>
    <w:rsid w:val="00713ED4"/>
    <w:rsid w:val="00713EF8"/>
    <w:rsid w:val="00714427"/>
    <w:rsid w:val="007144E6"/>
    <w:rsid w:val="00714741"/>
    <w:rsid w:val="00714C37"/>
    <w:rsid w:val="00714C8E"/>
    <w:rsid w:val="007156A6"/>
    <w:rsid w:val="0071574D"/>
    <w:rsid w:val="00715DF7"/>
    <w:rsid w:val="00715E0F"/>
    <w:rsid w:val="00716094"/>
    <w:rsid w:val="00716567"/>
    <w:rsid w:val="00716847"/>
    <w:rsid w:val="00716F33"/>
    <w:rsid w:val="0071747F"/>
    <w:rsid w:val="00717754"/>
    <w:rsid w:val="00717B7A"/>
    <w:rsid w:val="00720327"/>
    <w:rsid w:val="00720BDD"/>
    <w:rsid w:val="0072101F"/>
    <w:rsid w:val="007212CB"/>
    <w:rsid w:val="0072166A"/>
    <w:rsid w:val="00721EE9"/>
    <w:rsid w:val="00721FB6"/>
    <w:rsid w:val="00722732"/>
    <w:rsid w:val="0072369E"/>
    <w:rsid w:val="007238A9"/>
    <w:rsid w:val="00723B94"/>
    <w:rsid w:val="00723E43"/>
    <w:rsid w:val="00724089"/>
    <w:rsid w:val="007240EE"/>
    <w:rsid w:val="007243FC"/>
    <w:rsid w:val="00724512"/>
    <w:rsid w:val="00724D36"/>
    <w:rsid w:val="00724E80"/>
    <w:rsid w:val="00724F48"/>
    <w:rsid w:val="00724FD0"/>
    <w:rsid w:val="00725400"/>
    <w:rsid w:val="0072547C"/>
    <w:rsid w:val="00725EF0"/>
    <w:rsid w:val="0072604F"/>
    <w:rsid w:val="007263D3"/>
    <w:rsid w:val="007267EC"/>
    <w:rsid w:val="00726BFF"/>
    <w:rsid w:val="00727213"/>
    <w:rsid w:val="0072742F"/>
    <w:rsid w:val="00727F78"/>
    <w:rsid w:val="00730E54"/>
    <w:rsid w:val="0073139C"/>
    <w:rsid w:val="0073154D"/>
    <w:rsid w:val="0073162B"/>
    <w:rsid w:val="00731881"/>
    <w:rsid w:val="00731913"/>
    <w:rsid w:val="00731DB2"/>
    <w:rsid w:val="007321D1"/>
    <w:rsid w:val="0073226A"/>
    <w:rsid w:val="007326BB"/>
    <w:rsid w:val="00732B3D"/>
    <w:rsid w:val="00733045"/>
    <w:rsid w:val="0073326B"/>
    <w:rsid w:val="007337E1"/>
    <w:rsid w:val="00733F24"/>
    <w:rsid w:val="00733FA3"/>
    <w:rsid w:val="007342AC"/>
    <w:rsid w:val="00734713"/>
    <w:rsid w:val="00734D2F"/>
    <w:rsid w:val="00734F0F"/>
    <w:rsid w:val="0073510D"/>
    <w:rsid w:val="0073518A"/>
    <w:rsid w:val="00735226"/>
    <w:rsid w:val="00735609"/>
    <w:rsid w:val="00735BBB"/>
    <w:rsid w:val="00735C53"/>
    <w:rsid w:val="00736743"/>
    <w:rsid w:val="00736E50"/>
    <w:rsid w:val="007373FD"/>
    <w:rsid w:val="00737A7A"/>
    <w:rsid w:val="00737FE5"/>
    <w:rsid w:val="007401D9"/>
    <w:rsid w:val="00740460"/>
    <w:rsid w:val="0074051D"/>
    <w:rsid w:val="00740F24"/>
    <w:rsid w:val="00741B45"/>
    <w:rsid w:val="00741D80"/>
    <w:rsid w:val="00741E2F"/>
    <w:rsid w:val="00741EC9"/>
    <w:rsid w:val="00742082"/>
    <w:rsid w:val="0074246F"/>
    <w:rsid w:val="007429ED"/>
    <w:rsid w:val="00742A67"/>
    <w:rsid w:val="007430CA"/>
    <w:rsid w:val="007436A4"/>
    <w:rsid w:val="00743DC3"/>
    <w:rsid w:val="00743F94"/>
    <w:rsid w:val="007443B6"/>
    <w:rsid w:val="00744E39"/>
    <w:rsid w:val="007450A7"/>
    <w:rsid w:val="00745692"/>
    <w:rsid w:val="007464FB"/>
    <w:rsid w:val="0074704B"/>
    <w:rsid w:val="007474DC"/>
    <w:rsid w:val="00747741"/>
    <w:rsid w:val="00747A9B"/>
    <w:rsid w:val="00747C42"/>
    <w:rsid w:val="00747D86"/>
    <w:rsid w:val="007501D2"/>
    <w:rsid w:val="0075064B"/>
    <w:rsid w:val="00750C6B"/>
    <w:rsid w:val="00750DF9"/>
    <w:rsid w:val="00750EB3"/>
    <w:rsid w:val="00751212"/>
    <w:rsid w:val="0075198E"/>
    <w:rsid w:val="00751A2A"/>
    <w:rsid w:val="00752066"/>
    <w:rsid w:val="00752071"/>
    <w:rsid w:val="007529C8"/>
    <w:rsid w:val="00753B48"/>
    <w:rsid w:val="00753EB2"/>
    <w:rsid w:val="0075428E"/>
    <w:rsid w:val="007542B0"/>
    <w:rsid w:val="00754429"/>
    <w:rsid w:val="00754696"/>
    <w:rsid w:val="00754B16"/>
    <w:rsid w:val="00754D0A"/>
    <w:rsid w:val="007553B1"/>
    <w:rsid w:val="00756A0A"/>
    <w:rsid w:val="0075719C"/>
    <w:rsid w:val="0075766C"/>
    <w:rsid w:val="007577CE"/>
    <w:rsid w:val="007579E1"/>
    <w:rsid w:val="00757B91"/>
    <w:rsid w:val="007607CE"/>
    <w:rsid w:val="00760AD3"/>
    <w:rsid w:val="00760DF0"/>
    <w:rsid w:val="00760F06"/>
    <w:rsid w:val="007615E4"/>
    <w:rsid w:val="0076186B"/>
    <w:rsid w:val="00761AEA"/>
    <w:rsid w:val="00761E0D"/>
    <w:rsid w:val="00762133"/>
    <w:rsid w:val="0076230C"/>
    <w:rsid w:val="00762DD6"/>
    <w:rsid w:val="00762F71"/>
    <w:rsid w:val="00762FDB"/>
    <w:rsid w:val="00763152"/>
    <w:rsid w:val="00763529"/>
    <w:rsid w:val="00763648"/>
    <w:rsid w:val="00763693"/>
    <w:rsid w:val="00763A62"/>
    <w:rsid w:val="007640A5"/>
    <w:rsid w:val="007642FF"/>
    <w:rsid w:val="0076489E"/>
    <w:rsid w:val="007648E6"/>
    <w:rsid w:val="007650A2"/>
    <w:rsid w:val="00765995"/>
    <w:rsid w:val="00765E01"/>
    <w:rsid w:val="00765E98"/>
    <w:rsid w:val="00766416"/>
    <w:rsid w:val="00766422"/>
    <w:rsid w:val="00766B23"/>
    <w:rsid w:val="00766B5F"/>
    <w:rsid w:val="00766CA5"/>
    <w:rsid w:val="00767582"/>
    <w:rsid w:val="00767D7B"/>
    <w:rsid w:val="00767F3E"/>
    <w:rsid w:val="00770427"/>
    <w:rsid w:val="0077045B"/>
    <w:rsid w:val="00770887"/>
    <w:rsid w:val="007708DC"/>
    <w:rsid w:val="00770982"/>
    <w:rsid w:val="00771C2B"/>
    <w:rsid w:val="007727F1"/>
    <w:rsid w:val="00772CAA"/>
    <w:rsid w:val="00772D55"/>
    <w:rsid w:val="00772EF8"/>
    <w:rsid w:val="007730CC"/>
    <w:rsid w:val="0077322E"/>
    <w:rsid w:val="00773772"/>
    <w:rsid w:val="00774716"/>
    <w:rsid w:val="0077484D"/>
    <w:rsid w:val="00774DE7"/>
    <w:rsid w:val="007752F8"/>
    <w:rsid w:val="007759E0"/>
    <w:rsid w:val="00775AF6"/>
    <w:rsid w:val="00776409"/>
    <w:rsid w:val="007766A4"/>
    <w:rsid w:val="00776784"/>
    <w:rsid w:val="007767C5"/>
    <w:rsid w:val="00776B05"/>
    <w:rsid w:val="007770A7"/>
    <w:rsid w:val="0077785A"/>
    <w:rsid w:val="00777E17"/>
    <w:rsid w:val="00780319"/>
    <w:rsid w:val="007803D0"/>
    <w:rsid w:val="00780ABC"/>
    <w:rsid w:val="00780C15"/>
    <w:rsid w:val="00780EBC"/>
    <w:rsid w:val="0078138E"/>
    <w:rsid w:val="007815EB"/>
    <w:rsid w:val="00781659"/>
    <w:rsid w:val="0078251F"/>
    <w:rsid w:val="007827F1"/>
    <w:rsid w:val="00783029"/>
    <w:rsid w:val="007830F5"/>
    <w:rsid w:val="007832BD"/>
    <w:rsid w:val="0078359E"/>
    <w:rsid w:val="007837AB"/>
    <w:rsid w:val="007841D6"/>
    <w:rsid w:val="00784A2F"/>
    <w:rsid w:val="00784D35"/>
    <w:rsid w:val="00784E3D"/>
    <w:rsid w:val="007850B5"/>
    <w:rsid w:val="00785EEE"/>
    <w:rsid w:val="00786292"/>
    <w:rsid w:val="00786515"/>
    <w:rsid w:val="007866E5"/>
    <w:rsid w:val="00786C75"/>
    <w:rsid w:val="00787276"/>
    <w:rsid w:val="0078727E"/>
    <w:rsid w:val="00787CCA"/>
    <w:rsid w:val="00790251"/>
    <w:rsid w:val="00790C39"/>
    <w:rsid w:val="00791101"/>
    <w:rsid w:val="00791215"/>
    <w:rsid w:val="0079130C"/>
    <w:rsid w:val="007919BA"/>
    <w:rsid w:val="00791EE4"/>
    <w:rsid w:val="00792348"/>
    <w:rsid w:val="00792849"/>
    <w:rsid w:val="00792BF4"/>
    <w:rsid w:val="00792C85"/>
    <w:rsid w:val="00792F8D"/>
    <w:rsid w:val="00793281"/>
    <w:rsid w:val="007950CE"/>
    <w:rsid w:val="007957B6"/>
    <w:rsid w:val="007961AA"/>
    <w:rsid w:val="0079645D"/>
    <w:rsid w:val="00796BDD"/>
    <w:rsid w:val="00796C8D"/>
    <w:rsid w:val="00797250"/>
    <w:rsid w:val="007977B0"/>
    <w:rsid w:val="00797848"/>
    <w:rsid w:val="00797A1F"/>
    <w:rsid w:val="007A098C"/>
    <w:rsid w:val="007A0DF3"/>
    <w:rsid w:val="007A10A3"/>
    <w:rsid w:val="007A126F"/>
    <w:rsid w:val="007A12F9"/>
    <w:rsid w:val="007A1642"/>
    <w:rsid w:val="007A2B3E"/>
    <w:rsid w:val="007A3260"/>
    <w:rsid w:val="007A3376"/>
    <w:rsid w:val="007A34B2"/>
    <w:rsid w:val="007A38E9"/>
    <w:rsid w:val="007A41D4"/>
    <w:rsid w:val="007A4208"/>
    <w:rsid w:val="007A445E"/>
    <w:rsid w:val="007A4A89"/>
    <w:rsid w:val="007A4EC2"/>
    <w:rsid w:val="007A50B2"/>
    <w:rsid w:val="007A627D"/>
    <w:rsid w:val="007A62E3"/>
    <w:rsid w:val="007A6B37"/>
    <w:rsid w:val="007A7191"/>
    <w:rsid w:val="007A7205"/>
    <w:rsid w:val="007A7314"/>
    <w:rsid w:val="007A78EA"/>
    <w:rsid w:val="007B008F"/>
    <w:rsid w:val="007B04F5"/>
    <w:rsid w:val="007B10F3"/>
    <w:rsid w:val="007B110E"/>
    <w:rsid w:val="007B3315"/>
    <w:rsid w:val="007B3369"/>
    <w:rsid w:val="007B3549"/>
    <w:rsid w:val="007B3621"/>
    <w:rsid w:val="007B36EF"/>
    <w:rsid w:val="007B442C"/>
    <w:rsid w:val="007B4A82"/>
    <w:rsid w:val="007B523F"/>
    <w:rsid w:val="007B52A7"/>
    <w:rsid w:val="007B6007"/>
    <w:rsid w:val="007B626B"/>
    <w:rsid w:val="007B64AA"/>
    <w:rsid w:val="007B7198"/>
    <w:rsid w:val="007B7302"/>
    <w:rsid w:val="007B7451"/>
    <w:rsid w:val="007B7497"/>
    <w:rsid w:val="007B776B"/>
    <w:rsid w:val="007B7D81"/>
    <w:rsid w:val="007B7F69"/>
    <w:rsid w:val="007C1025"/>
    <w:rsid w:val="007C1321"/>
    <w:rsid w:val="007C16FE"/>
    <w:rsid w:val="007C1790"/>
    <w:rsid w:val="007C18CB"/>
    <w:rsid w:val="007C1FFB"/>
    <w:rsid w:val="007C2392"/>
    <w:rsid w:val="007C24EE"/>
    <w:rsid w:val="007C2A25"/>
    <w:rsid w:val="007C2E28"/>
    <w:rsid w:val="007C3B8A"/>
    <w:rsid w:val="007C4568"/>
    <w:rsid w:val="007C4657"/>
    <w:rsid w:val="007C5910"/>
    <w:rsid w:val="007C5951"/>
    <w:rsid w:val="007C59F7"/>
    <w:rsid w:val="007C618E"/>
    <w:rsid w:val="007C6C83"/>
    <w:rsid w:val="007C6DCF"/>
    <w:rsid w:val="007C6E65"/>
    <w:rsid w:val="007C73AC"/>
    <w:rsid w:val="007C7737"/>
    <w:rsid w:val="007C7BB9"/>
    <w:rsid w:val="007C7C33"/>
    <w:rsid w:val="007C7F1F"/>
    <w:rsid w:val="007D0044"/>
    <w:rsid w:val="007D06F4"/>
    <w:rsid w:val="007D125B"/>
    <w:rsid w:val="007D18FE"/>
    <w:rsid w:val="007D2455"/>
    <w:rsid w:val="007D32B4"/>
    <w:rsid w:val="007D3AF7"/>
    <w:rsid w:val="007D434E"/>
    <w:rsid w:val="007D45C8"/>
    <w:rsid w:val="007D4BA8"/>
    <w:rsid w:val="007D4C28"/>
    <w:rsid w:val="007D4DEE"/>
    <w:rsid w:val="007D569F"/>
    <w:rsid w:val="007D59BC"/>
    <w:rsid w:val="007D5B05"/>
    <w:rsid w:val="007D653F"/>
    <w:rsid w:val="007D6A22"/>
    <w:rsid w:val="007D6F9A"/>
    <w:rsid w:val="007D716C"/>
    <w:rsid w:val="007D79D5"/>
    <w:rsid w:val="007E00E9"/>
    <w:rsid w:val="007E04BF"/>
    <w:rsid w:val="007E0DBB"/>
    <w:rsid w:val="007E0F97"/>
    <w:rsid w:val="007E100E"/>
    <w:rsid w:val="007E127A"/>
    <w:rsid w:val="007E1753"/>
    <w:rsid w:val="007E1904"/>
    <w:rsid w:val="007E1B84"/>
    <w:rsid w:val="007E1DD6"/>
    <w:rsid w:val="007E1F9F"/>
    <w:rsid w:val="007E2108"/>
    <w:rsid w:val="007E22C2"/>
    <w:rsid w:val="007E28C4"/>
    <w:rsid w:val="007E2B0A"/>
    <w:rsid w:val="007E2F61"/>
    <w:rsid w:val="007E301B"/>
    <w:rsid w:val="007E323F"/>
    <w:rsid w:val="007E35E4"/>
    <w:rsid w:val="007E376B"/>
    <w:rsid w:val="007E3A9E"/>
    <w:rsid w:val="007E3CBB"/>
    <w:rsid w:val="007E413C"/>
    <w:rsid w:val="007E41FB"/>
    <w:rsid w:val="007E4B68"/>
    <w:rsid w:val="007E4CC0"/>
    <w:rsid w:val="007E4DD3"/>
    <w:rsid w:val="007E56AE"/>
    <w:rsid w:val="007E59CA"/>
    <w:rsid w:val="007E5F7B"/>
    <w:rsid w:val="007E66D8"/>
    <w:rsid w:val="007E75C0"/>
    <w:rsid w:val="007E786E"/>
    <w:rsid w:val="007F052C"/>
    <w:rsid w:val="007F07F3"/>
    <w:rsid w:val="007F1203"/>
    <w:rsid w:val="007F1230"/>
    <w:rsid w:val="007F178D"/>
    <w:rsid w:val="007F1A1F"/>
    <w:rsid w:val="007F1D41"/>
    <w:rsid w:val="007F1F03"/>
    <w:rsid w:val="007F24B0"/>
    <w:rsid w:val="007F2625"/>
    <w:rsid w:val="007F2766"/>
    <w:rsid w:val="007F2F76"/>
    <w:rsid w:val="007F35DF"/>
    <w:rsid w:val="007F3E5C"/>
    <w:rsid w:val="007F406A"/>
    <w:rsid w:val="007F45BC"/>
    <w:rsid w:val="007F4EEF"/>
    <w:rsid w:val="007F5114"/>
    <w:rsid w:val="007F54B2"/>
    <w:rsid w:val="007F54DE"/>
    <w:rsid w:val="007F5506"/>
    <w:rsid w:val="007F5609"/>
    <w:rsid w:val="007F59DB"/>
    <w:rsid w:val="007F6592"/>
    <w:rsid w:val="007F65F9"/>
    <w:rsid w:val="007F65FF"/>
    <w:rsid w:val="007F68B7"/>
    <w:rsid w:val="007F6C61"/>
    <w:rsid w:val="007F78D5"/>
    <w:rsid w:val="007F7902"/>
    <w:rsid w:val="007F7CD3"/>
    <w:rsid w:val="007F7F48"/>
    <w:rsid w:val="0080016B"/>
    <w:rsid w:val="00801259"/>
    <w:rsid w:val="00801265"/>
    <w:rsid w:val="008013CE"/>
    <w:rsid w:val="00801843"/>
    <w:rsid w:val="00801A73"/>
    <w:rsid w:val="008024AE"/>
    <w:rsid w:val="00802E04"/>
    <w:rsid w:val="0080396D"/>
    <w:rsid w:val="00803CEE"/>
    <w:rsid w:val="00803F6D"/>
    <w:rsid w:val="00803F9C"/>
    <w:rsid w:val="00804350"/>
    <w:rsid w:val="0080444A"/>
    <w:rsid w:val="008045CF"/>
    <w:rsid w:val="008045ED"/>
    <w:rsid w:val="00805103"/>
    <w:rsid w:val="008051F0"/>
    <w:rsid w:val="00805E97"/>
    <w:rsid w:val="00805FD3"/>
    <w:rsid w:val="00805FFE"/>
    <w:rsid w:val="00806119"/>
    <w:rsid w:val="00806131"/>
    <w:rsid w:val="008069A6"/>
    <w:rsid w:val="00806CC1"/>
    <w:rsid w:val="00807560"/>
    <w:rsid w:val="00810546"/>
    <w:rsid w:val="00810653"/>
    <w:rsid w:val="00810935"/>
    <w:rsid w:val="00810D7B"/>
    <w:rsid w:val="00810DC0"/>
    <w:rsid w:val="00810E3C"/>
    <w:rsid w:val="00811441"/>
    <w:rsid w:val="00811799"/>
    <w:rsid w:val="00812597"/>
    <w:rsid w:val="00812786"/>
    <w:rsid w:val="008128C4"/>
    <w:rsid w:val="00813038"/>
    <w:rsid w:val="008134F1"/>
    <w:rsid w:val="008138E4"/>
    <w:rsid w:val="00813BBB"/>
    <w:rsid w:val="00813F65"/>
    <w:rsid w:val="00815198"/>
    <w:rsid w:val="00815CEC"/>
    <w:rsid w:val="008168A5"/>
    <w:rsid w:val="00816D7C"/>
    <w:rsid w:val="00817036"/>
    <w:rsid w:val="008170E9"/>
    <w:rsid w:val="00817314"/>
    <w:rsid w:val="00817AEB"/>
    <w:rsid w:val="00817C76"/>
    <w:rsid w:val="0082004A"/>
    <w:rsid w:val="008202BA"/>
    <w:rsid w:val="008202F3"/>
    <w:rsid w:val="0082037E"/>
    <w:rsid w:val="0082079C"/>
    <w:rsid w:val="00820875"/>
    <w:rsid w:val="00820962"/>
    <w:rsid w:val="00820BE6"/>
    <w:rsid w:val="008210D3"/>
    <w:rsid w:val="008213AF"/>
    <w:rsid w:val="00821444"/>
    <w:rsid w:val="008215B9"/>
    <w:rsid w:val="008216BC"/>
    <w:rsid w:val="00821747"/>
    <w:rsid w:val="00821749"/>
    <w:rsid w:val="00821B89"/>
    <w:rsid w:val="0082235A"/>
    <w:rsid w:val="00822B95"/>
    <w:rsid w:val="00822EDB"/>
    <w:rsid w:val="008234DD"/>
    <w:rsid w:val="00823976"/>
    <w:rsid w:val="00823B36"/>
    <w:rsid w:val="00823C82"/>
    <w:rsid w:val="00823E43"/>
    <w:rsid w:val="00823F07"/>
    <w:rsid w:val="00824070"/>
    <w:rsid w:val="008241D8"/>
    <w:rsid w:val="008242AC"/>
    <w:rsid w:val="0082454A"/>
    <w:rsid w:val="00826094"/>
    <w:rsid w:val="008262D2"/>
    <w:rsid w:val="0082661D"/>
    <w:rsid w:val="00830151"/>
    <w:rsid w:val="0083023D"/>
    <w:rsid w:val="00830423"/>
    <w:rsid w:val="008306CF"/>
    <w:rsid w:val="0083082F"/>
    <w:rsid w:val="00830D15"/>
    <w:rsid w:val="00830E17"/>
    <w:rsid w:val="008314D1"/>
    <w:rsid w:val="0083168F"/>
    <w:rsid w:val="00831EED"/>
    <w:rsid w:val="00832056"/>
    <w:rsid w:val="00832190"/>
    <w:rsid w:val="008326E7"/>
    <w:rsid w:val="008328E3"/>
    <w:rsid w:val="00832DEB"/>
    <w:rsid w:val="00833836"/>
    <w:rsid w:val="00834161"/>
    <w:rsid w:val="00834BCD"/>
    <w:rsid w:val="00834FB3"/>
    <w:rsid w:val="00835288"/>
    <w:rsid w:val="008354B6"/>
    <w:rsid w:val="00835CC8"/>
    <w:rsid w:val="00835DBD"/>
    <w:rsid w:val="0083601A"/>
    <w:rsid w:val="00836054"/>
    <w:rsid w:val="008360FD"/>
    <w:rsid w:val="00836272"/>
    <w:rsid w:val="008362B6"/>
    <w:rsid w:val="00836D0F"/>
    <w:rsid w:val="008374FC"/>
    <w:rsid w:val="00837BEB"/>
    <w:rsid w:val="00840198"/>
    <w:rsid w:val="00840441"/>
    <w:rsid w:val="008405E0"/>
    <w:rsid w:val="00840BC5"/>
    <w:rsid w:val="00840C3C"/>
    <w:rsid w:val="00840F7F"/>
    <w:rsid w:val="00841150"/>
    <w:rsid w:val="0084199D"/>
    <w:rsid w:val="00841D85"/>
    <w:rsid w:val="00842771"/>
    <w:rsid w:val="00842B7D"/>
    <w:rsid w:val="00842ECE"/>
    <w:rsid w:val="00843CBA"/>
    <w:rsid w:val="00843EAC"/>
    <w:rsid w:val="008442D2"/>
    <w:rsid w:val="00844697"/>
    <w:rsid w:val="00844985"/>
    <w:rsid w:val="00844A9F"/>
    <w:rsid w:val="00844E9A"/>
    <w:rsid w:val="00845606"/>
    <w:rsid w:val="0084568A"/>
    <w:rsid w:val="00845BDB"/>
    <w:rsid w:val="008461BF"/>
    <w:rsid w:val="008461C8"/>
    <w:rsid w:val="008469B1"/>
    <w:rsid w:val="00846A1C"/>
    <w:rsid w:val="00846E82"/>
    <w:rsid w:val="00846F2F"/>
    <w:rsid w:val="00847A74"/>
    <w:rsid w:val="00847E54"/>
    <w:rsid w:val="00850A7B"/>
    <w:rsid w:val="00850E23"/>
    <w:rsid w:val="00850FB1"/>
    <w:rsid w:val="00850FB2"/>
    <w:rsid w:val="00851388"/>
    <w:rsid w:val="008519BC"/>
    <w:rsid w:val="00851BF8"/>
    <w:rsid w:val="00851F93"/>
    <w:rsid w:val="00852345"/>
    <w:rsid w:val="00852638"/>
    <w:rsid w:val="00852D5C"/>
    <w:rsid w:val="00852F05"/>
    <w:rsid w:val="00853090"/>
    <w:rsid w:val="00853329"/>
    <w:rsid w:val="00853509"/>
    <w:rsid w:val="00853AF2"/>
    <w:rsid w:val="00853B02"/>
    <w:rsid w:val="00853BC8"/>
    <w:rsid w:val="0085437C"/>
    <w:rsid w:val="008549B5"/>
    <w:rsid w:val="00854CCB"/>
    <w:rsid w:val="0085580B"/>
    <w:rsid w:val="00855C1C"/>
    <w:rsid w:val="00856043"/>
    <w:rsid w:val="008562F6"/>
    <w:rsid w:val="00856595"/>
    <w:rsid w:val="00856D8A"/>
    <w:rsid w:val="00856FC6"/>
    <w:rsid w:val="0085756E"/>
    <w:rsid w:val="008575D8"/>
    <w:rsid w:val="00860156"/>
    <w:rsid w:val="00860F01"/>
    <w:rsid w:val="00860F36"/>
    <w:rsid w:val="00861072"/>
    <w:rsid w:val="008612A8"/>
    <w:rsid w:val="008625C0"/>
    <w:rsid w:val="008629B1"/>
    <w:rsid w:val="00862B00"/>
    <w:rsid w:val="00863FA2"/>
    <w:rsid w:val="00864133"/>
    <w:rsid w:val="00864189"/>
    <w:rsid w:val="0086438A"/>
    <w:rsid w:val="00864BAC"/>
    <w:rsid w:val="00865223"/>
    <w:rsid w:val="00865250"/>
    <w:rsid w:val="00865264"/>
    <w:rsid w:val="0086592B"/>
    <w:rsid w:val="00865D8C"/>
    <w:rsid w:val="00866142"/>
    <w:rsid w:val="0086660F"/>
    <w:rsid w:val="00866972"/>
    <w:rsid w:val="00867040"/>
    <w:rsid w:val="00867071"/>
    <w:rsid w:val="00867198"/>
    <w:rsid w:val="0086751D"/>
    <w:rsid w:val="00867903"/>
    <w:rsid w:val="00867EE1"/>
    <w:rsid w:val="00870084"/>
    <w:rsid w:val="00870638"/>
    <w:rsid w:val="00870888"/>
    <w:rsid w:val="00870FA2"/>
    <w:rsid w:val="00871528"/>
    <w:rsid w:val="008715A1"/>
    <w:rsid w:val="0087193A"/>
    <w:rsid w:val="00871B9F"/>
    <w:rsid w:val="00871CA8"/>
    <w:rsid w:val="008722DD"/>
    <w:rsid w:val="00872D49"/>
    <w:rsid w:val="008734C1"/>
    <w:rsid w:val="00874500"/>
    <w:rsid w:val="0087488B"/>
    <w:rsid w:val="00874A2B"/>
    <w:rsid w:val="00874B1E"/>
    <w:rsid w:val="00874BAA"/>
    <w:rsid w:val="00875CB8"/>
    <w:rsid w:val="00876531"/>
    <w:rsid w:val="00876987"/>
    <w:rsid w:val="008777AC"/>
    <w:rsid w:val="00877A4E"/>
    <w:rsid w:val="00877F55"/>
    <w:rsid w:val="00880721"/>
    <w:rsid w:val="00880CE6"/>
    <w:rsid w:val="008811AC"/>
    <w:rsid w:val="00881978"/>
    <w:rsid w:val="00881C12"/>
    <w:rsid w:val="00881DA0"/>
    <w:rsid w:val="008828B3"/>
    <w:rsid w:val="00882DCD"/>
    <w:rsid w:val="00883399"/>
    <w:rsid w:val="0088368D"/>
    <w:rsid w:val="00883A3D"/>
    <w:rsid w:val="00883A43"/>
    <w:rsid w:val="00884394"/>
    <w:rsid w:val="0088475C"/>
    <w:rsid w:val="00884DE1"/>
    <w:rsid w:val="008856FD"/>
    <w:rsid w:val="00885C38"/>
    <w:rsid w:val="00886D08"/>
    <w:rsid w:val="00887157"/>
    <w:rsid w:val="00887FDF"/>
    <w:rsid w:val="00891B29"/>
    <w:rsid w:val="00892422"/>
    <w:rsid w:val="0089296D"/>
    <w:rsid w:val="008930F0"/>
    <w:rsid w:val="00893D2C"/>
    <w:rsid w:val="00893F6D"/>
    <w:rsid w:val="008943A7"/>
    <w:rsid w:val="008947AD"/>
    <w:rsid w:val="00895BF3"/>
    <w:rsid w:val="008967D5"/>
    <w:rsid w:val="008969AB"/>
    <w:rsid w:val="00896B3C"/>
    <w:rsid w:val="00896D37"/>
    <w:rsid w:val="008971B1"/>
    <w:rsid w:val="00897432"/>
    <w:rsid w:val="00897E53"/>
    <w:rsid w:val="008A0382"/>
    <w:rsid w:val="008A0606"/>
    <w:rsid w:val="008A0A31"/>
    <w:rsid w:val="008A0DA6"/>
    <w:rsid w:val="008A10A4"/>
    <w:rsid w:val="008A1600"/>
    <w:rsid w:val="008A1EBC"/>
    <w:rsid w:val="008A1FA2"/>
    <w:rsid w:val="008A2E6F"/>
    <w:rsid w:val="008A3859"/>
    <w:rsid w:val="008A40CE"/>
    <w:rsid w:val="008A443A"/>
    <w:rsid w:val="008A4C9D"/>
    <w:rsid w:val="008A4FD2"/>
    <w:rsid w:val="008A50AB"/>
    <w:rsid w:val="008A5701"/>
    <w:rsid w:val="008A5DC0"/>
    <w:rsid w:val="008A680B"/>
    <w:rsid w:val="008A68CE"/>
    <w:rsid w:val="008A6F20"/>
    <w:rsid w:val="008A7090"/>
    <w:rsid w:val="008B0190"/>
    <w:rsid w:val="008B041F"/>
    <w:rsid w:val="008B0629"/>
    <w:rsid w:val="008B07BC"/>
    <w:rsid w:val="008B1242"/>
    <w:rsid w:val="008B165E"/>
    <w:rsid w:val="008B16CD"/>
    <w:rsid w:val="008B173A"/>
    <w:rsid w:val="008B19FD"/>
    <w:rsid w:val="008B21AD"/>
    <w:rsid w:val="008B2795"/>
    <w:rsid w:val="008B27CF"/>
    <w:rsid w:val="008B2B3C"/>
    <w:rsid w:val="008B320A"/>
    <w:rsid w:val="008B327D"/>
    <w:rsid w:val="008B3C26"/>
    <w:rsid w:val="008B44A8"/>
    <w:rsid w:val="008B4705"/>
    <w:rsid w:val="008B4957"/>
    <w:rsid w:val="008B5D4B"/>
    <w:rsid w:val="008B6A86"/>
    <w:rsid w:val="008B70EF"/>
    <w:rsid w:val="008B7125"/>
    <w:rsid w:val="008C01D1"/>
    <w:rsid w:val="008C022C"/>
    <w:rsid w:val="008C0A2D"/>
    <w:rsid w:val="008C0F0C"/>
    <w:rsid w:val="008C1E94"/>
    <w:rsid w:val="008C248C"/>
    <w:rsid w:val="008C298A"/>
    <w:rsid w:val="008C2C08"/>
    <w:rsid w:val="008C2F0D"/>
    <w:rsid w:val="008C30EB"/>
    <w:rsid w:val="008C326F"/>
    <w:rsid w:val="008C34B2"/>
    <w:rsid w:val="008C3788"/>
    <w:rsid w:val="008C3C39"/>
    <w:rsid w:val="008C46BF"/>
    <w:rsid w:val="008C48B0"/>
    <w:rsid w:val="008C50E6"/>
    <w:rsid w:val="008C541E"/>
    <w:rsid w:val="008C57A8"/>
    <w:rsid w:val="008C635B"/>
    <w:rsid w:val="008C6976"/>
    <w:rsid w:val="008C6B7D"/>
    <w:rsid w:val="008C7074"/>
    <w:rsid w:val="008C73F7"/>
    <w:rsid w:val="008C750D"/>
    <w:rsid w:val="008C7604"/>
    <w:rsid w:val="008D006B"/>
    <w:rsid w:val="008D02CD"/>
    <w:rsid w:val="008D0DFE"/>
    <w:rsid w:val="008D1038"/>
    <w:rsid w:val="008D1112"/>
    <w:rsid w:val="008D14BB"/>
    <w:rsid w:val="008D176B"/>
    <w:rsid w:val="008D196A"/>
    <w:rsid w:val="008D1A01"/>
    <w:rsid w:val="008D1F29"/>
    <w:rsid w:val="008D25B4"/>
    <w:rsid w:val="008D2835"/>
    <w:rsid w:val="008D3836"/>
    <w:rsid w:val="008D3DDA"/>
    <w:rsid w:val="008D3FF4"/>
    <w:rsid w:val="008D4678"/>
    <w:rsid w:val="008D4831"/>
    <w:rsid w:val="008D48C6"/>
    <w:rsid w:val="008D53C2"/>
    <w:rsid w:val="008D53D8"/>
    <w:rsid w:val="008D5C9C"/>
    <w:rsid w:val="008D60BA"/>
    <w:rsid w:val="008D653F"/>
    <w:rsid w:val="008D67E9"/>
    <w:rsid w:val="008D7032"/>
    <w:rsid w:val="008D73C3"/>
    <w:rsid w:val="008D73D2"/>
    <w:rsid w:val="008D78AA"/>
    <w:rsid w:val="008E09C3"/>
    <w:rsid w:val="008E0ACA"/>
    <w:rsid w:val="008E0C42"/>
    <w:rsid w:val="008E1192"/>
    <w:rsid w:val="008E13BD"/>
    <w:rsid w:val="008E182C"/>
    <w:rsid w:val="008E1C6A"/>
    <w:rsid w:val="008E20FF"/>
    <w:rsid w:val="008E272A"/>
    <w:rsid w:val="008E3521"/>
    <w:rsid w:val="008E3A2F"/>
    <w:rsid w:val="008E3AED"/>
    <w:rsid w:val="008E3C48"/>
    <w:rsid w:val="008E3CF5"/>
    <w:rsid w:val="008E3DEE"/>
    <w:rsid w:val="008E41B5"/>
    <w:rsid w:val="008E4C75"/>
    <w:rsid w:val="008E513C"/>
    <w:rsid w:val="008E56F4"/>
    <w:rsid w:val="008E69DA"/>
    <w:rsid w:val="008E7038"/>
    <w:rsid w:val="008E72DC"/>
    <w:rsid w:val="008E75BF"/>
    <w:rsid w:val="008F0837"/>
    <w:rsid w:val="008F0D04"/>
    <w:rsid w:val="008F0DD5"/>
    <w:rsid w:val="008F1113"/>
    <w:rsid w:val="008F1134"/>
    <w:rsid w:val="008F1581"/>
    <w:rsid w:val="008F15D8"/>
    <w:rsid w:val="008F160D"/>
    <w:rsid w:val="008F1B20"/>
    <w:rsid w:val="008F1CA8"/>
    <w:rsid w:val="008F1D9B"/>
    <w:rsid w:val="008F1EA8"/>
    <w:rsid w:val="008F1EB5"/>
    <w:rsid w:val="008F209F"/>
    <w:rsid w:val="008F21BA"/>
    <w:rsid w:val="008F222A"/>
    <w:rsid w:val="008F29DC"/>
    <w:rsid w:val="008F2B13"/>
    <w:rsid w:val="008F2C55"/>
    <w:rsid w:val="008F3684"/>
    <w:rsid w:val="008F3E98"/>
    <w:rsid w:val="008F4D07"/>
    <w:rsid w:val="008F4F70"/>
    <w:rsid w:val="008F5136"/>
    <w:rsid w:val="008F51BB"/>
    <w:rsid w:val="008F57F6"/>
    <w:rsid w:val="008F5D76"/>
    <w:rsid w:val="008F5E15"/>
    <w:rsid w:val="008F62EF"/>
    <w:rsid w:val="008F6AA6"/>
    <w:rsid w:val="008F6D8B"/>
    <w:rsid w:val="008F6F6F"/>
    <w:rsid w:val="008F7938"/>
    <w:rsid w:val="008F7B9C"/>
    <w:rsid w:val="008F7EBE"/>
    <w:rsid w:val="009006AA"/>
    <w:rsid w:val="009012FB"/>
    <w:rsid w:val="009020AD"/>
    <w:rsid w:val="009020C8"/>
    <w:rsid w:val="0090215C"/>
    <w:rsid w:val="00903093"/>
    <w:rsid w:val="0090310A"/>
    <w:rsid w:val="009039C4"/>
    <w:rsid w:val="00903E34"/>
    <w:rsid w:val="0090512C"/>
    <w:rsid w:val="009051FB"/>
    <w:rsid w:val="0090557C"/>
    <w:rsid w:val="0090562D"/>
    <w:rsid w:val="00905B1C"/>
    <w:rsid w:val="00905E17"/>
    <w:rsid w:val="0090633F"/>
    <w:rsid w:val="0090641A"/>
    <w:rsid w:val="0090737E"/>
    <w:rsid w:val="00907E49"/>
    <w:rsid w:val="009108E1"/>
    <w:rsid w:val="00910E84"/>
    <w:rsid w:val="00911411"/>
    <w:rsid w:val="00911B8C"/>
    <w:rsid w:val="00911DA0"/>
    <w:rsid w:val="0091226D"/>
    <w:rsid w:val="0091286D"/>
    <w:rsid w:val="00913197"/>
    <w:rsid w:val="0091353B"/>
    <w:rsid w:val="0091366D"/>
    <w:rsid w:val="00913C26"/>
    <w:rsid w:val="00914035"/>
    <w:rsid w:val="00914399"/>
    <w:rsid w:val="009144A5"/>
    <w:rsid w:val="009145A3"/>
    <w:rsid w:val="00914882"/>
    <w:rsid w:val="009149DD"/>
    <w:rsid w:val="00914A25"/>
    <w:rsid w:val="00914E08"/>
    <w:rsid w:val="0091562C"/>
    <w:rsid w:val="00915C6E"/>
    <w:rsid w:val="00915CB5"/>
    <w:rsid w:val="00915EB0"/>
    <w:rsid w:val="009160C9"/>
    <w:rsid w:val="0091667E"/>
    <w:rsid w:val="009167E2"/>
    <w:rsid w:val="0091680A"/>
    <w:rsid w:val="00916D65"/>
    <w:rsid w:val="00916F6B"/>
    <w:rsid w:val="00917990"/>
    <w:rsid w:val="00917A63"/>
    <w:rsid w:val="00917BC5"/>
    <w:rsid w:val="00920649"/>
    <w:rsid w:val="00921262"/>
    <w:rsid w:val="00921588"/>
    <w:rsid w:val="009223FB"/>
    <w:rsid w:val="00922902"/>
    <w:rsid w:val="00922FE6"/>
    <w:rsid w:val="009231A5"/>
    <w:rsid w:val="0092343F"/>
    <w:rsid w:val="00923559"/>
    <w:rsid w:val="009236A4"/>
    <w:rsid w:val="009240F6"/>
    <w:rsid w:val="0092429A"/>
    <w:rsid w:val="00924745"/>
    <w:rsid w:val="00924C97"/>
    <w:rsid w:val="0092503F"/>
    <w:rsid w:val="00925C80"/>
    <w:rsid w:val="00925E60"/>
    <w:rsid w:val="00926944"/>
    <w:rsid w:val="009269F4"/>
    <w:rsid w:val="00927292"/>
    <w:rsid w:val="009272C0"/>
    <w:rsid w:val="00927717"/>
    <w:rsid w:val="00927E90"/>
    <w:rsid w:val="00927EF1"/>
    <w:rsid w:val="0093004F"/>
    <w:rsid w:val="0093040B"/>
    <w:rsid w:val="00930DB4"/>
    <w:rsid w:val="00930E6C"/>
    <w:rsid w:val="0093163C"/>
    <w:rsid w:val="00931682"/>
    <w:rsid w:val="0093211F"/>
    <w:rsid w:val="00932186"/>
    <w:rsid w:val="00932464"/>
    <w:rsid w:val="009325A8"/>
    <w:rsid w:val="0093296D"/>
    <w:rsid w:val="00932987"/>
    <w:rsid w:val="009333DC"/>
    <w:rsid w:val="009337DB"/>
    <w:rsid w:val="00933BBE"/>
    <w:rsid w:val="00934030"/>
    <w:rsid w:val="009343A4"/>
    <w:rsid w:val="009344DC"/>
    <w:rsid w:val="00934F91"/>
    <w:rsid w:val="00935767"/>
    <w:rsid w:val="00935852"/>
    <w:rsid w:val="0093657A"/>
    <w:rsid w:val="0093667C"/>
    <w:rsid w:val="009366D4"/>
    <w:rsid w:val="009367C4"/>
    <w:rsid w:val="00936CD8"/>
    <w:rsid w:val="00937069"/>
    <w:rsid w:val="00937178"/>
    <w:rsid w:val="00937331"/>
    <w:rsid w:val="00937702"/>
    <w:rsid w:val="00937A89"/>
    <w:rsid w:val="00937E06"/>
    <w:rsid w:val="00937F0C"/>
    <w:rsid w:val="00940328"/>
    <w:rsid w:val="009403AD"/>
    <w:rsid w:val="00940EA8"/>
    <w:rsid w:val="00940FE5"/>
    <w:rsid w:val="00941E99"/>
    <w:rsid w:val="009420B2"/>
    <w:rsid w:val="009426F7"/>
    <w:rsid w:val="009427EB"/>
    <w:rsid w:val="00942C9B"/>
    <w:rsid w:val="0094308D"/>
    <w:rsid w:val="009440AF"/>
    <w:rsid w:val="00944627"/>
    <w:rsid w:val="00944890"/>
    <w:rsid w:val="009448F8"/>
    <w:rsid w:val="00944B8F"/>
    <w:rsid w:val="0094633A"/>
    <w:rsid w:val="009463C3"/>
    <w:rsid w:val="00946883"/>
    <w:rsid w:val="009474E7"/>
    <w:rsid w:val="00947D06"/>
    <w:rsid w:val="009501B4"/>
    <w:rsid w:val="0095039D"/>
    <w:rsid w:val="009507B3"/>
    <w:rsid w:val="0095090A"/>
    <w:rsid w:val="00950CAC"/>
    <w:rsid w:val="00951176"/>
    <w:rsid w:val="00951C14"/>
    <w:rsid w:val="00951D98"/>
    <w:rsid w:val="00951E83"/>
    <w:rsid w:val="0095270C"/>
    <w:rsid w:val="00952D62"/>
    <w:rsid w:val="00953AB5"/>
    <w:rsid w:val="00953E5F"/>
    <w:rsid w:val="009544DF"/>
    <w:rsid w:val="00954BBF"/>
    <w:rsid w:val="00954CB6"/>
    <w:rsid w:val="00954CE2"/>
    <w:rsid w:val="00954FCD"/>
    <w:rsid w:val="009556AA"/>
    <w:rsid w:val="009557AE"/>
    <w:rsid w:val="009557EA"/>
    <w:rsid w:val="00955A05"/>
    <w:rsid w:val="00955C91"/>
    <w:rsid w:val="00955DC8"/>
    <w:rsid w:val="00955F7B"/>
    <w:rsid w:val="009567AC"/>
    <w:rsid w:val="00956CC1"/>
    <w:rsid w:val="00956E59"/>
    <w:rsid w:val="00957AC8"/>
    <w:rsid w:val="0096006A"/>
    <w:rsid w:val="009606FD"/>
    <w:rsid w:val="00960E05"/>
    <w:rsid w:val="00961073"/>
    <w:rsid w:val="0096184C"/>
    <w:rsid w:val="009619E6"/>
    <w:rsid w:val="00961C92"/>
    <w:rsid w:val="00961D25"/>
    <w:rsid w:val="00962004"/>
    <w:rsid w:val="00962749"/>
    <w:rsid w:val="0096283A"/>
    <w:rsid w:val="00962D3D"/>
    <w:rsid w:val="00962F63"/>
    <w:rsid w:val="00962FD6"/>
    <w:rsid w:val="009635FF"/>
    <w:rsid w:val="00963633"/>
    <w:rsid w:val="00963799"/>
    <w:rsid w:val="00963E5A"/>
    <w:rsid w:val="00964232"/>
    <w:rsid w:val="009645CF"/>
    <w:rsid w:val="00964A12"/>
    <w:rsid w:val="009660E5"/>
    <w:rsid w:val="0096612D"/>
    <w:rsid w:val="009661FC"/>
    <w:rsid w:val="0096631B"/>
    <w:rsid w:val="00966977"/>
    <w:rsid w:val="00966F1B"/>
    <w:rsid w:val="009672EC"/>
    <w:rsid w:val="00967BB9"/>
    <w:rsid w:val="00967E84"/>
    <w:rsid w:val="00970EB8"/>
    <w:rsid w:val="00970FB3"/>
    <w:rsid w:val="00971228"/>
    <w:rsid w:val="00971857"/>
    <w:rsid w:val="00971C40"/>
    <w:rsid w:val="009722F3"/>
    <w:rsid w:val="0097264F"/>
    <w:rsid w:val="009727C2"/>
    <w:rsid w:val="00972B22"/>
    <w:rsid w:val="00973445"/>
    <w:rsid w:val="00973733"/>
    <w:rsid w:val="0097384D"/>
    <w:rsid w:val="009749AD"/>
    <w:rsid w:val="009750CE"/>
    <w:rsid w:val="00975816"/>
    <w:rsid w:val="00975E09"/>
    <w:rsid w:val="00976910"/>
    <w:rsid w:val="00976DCD"/>
    <w:rsid w:val="00976EDA"/>
    <w:rsid w:val="009772CA"/>
    <w:rsid w:val="009772D1"/>
    <w:rsid w:val="0097747C"/>
    <w:rsid w:val="009802F0"/>
    <w:rsid w:val="0098069D"/>
    <w:rsid w:val="00980A59"/>
    <w:rsid w:val="00980BA8"/>
    <w:rsid w:val="009810FB"/>
    <w:rsid w:val="00981316"/>
    <w:rsid w:val="009814F8"/>
    <w:rsid w:val="009819FE"/>
    <w:rsid w:val="00982109"/>
    <w:rsid w:val="00982E94"/>
    <w:rsid w:val="0098306A"/>
    <w:rsid w:val="00983265"/>
    <w:rsid w:val="00983505"/>
    <w:rsid w:val="00983D5B"/>
    <w:rsid w:val="0098489A"/>
    <w:rsid w:val="0098490F"/>
    <w:rsid w:val="0098552E"/>
    <w:rsid w:val="00985622"/>
    <w:rsid w:val="00986786"/>
    <w:rsid w:val="00986D0F"/>
    <w:rsid w:val="00986FE2"/>
    <w:rsid w:val="009875A2"/>
    <w:rsid w:val="009879E8"/>
    <w:rsid w:val="00987A25"/>
    <w:rsid w:val="00987A4B"/>
    <w:rsid w:val="00987AE4"/>
    <w:rsid w:val="00987CE4"/>
    <w:rsid w:val="00987D06"/>
    <w:rsid w:val="00987F6E"/>
    <w:rsid w:val="00990210"/>
    <w:rsid w:val="00990212"/>
    <w:rsid w:val="00990A2E"/>
    <w:rsid w:val="00990D38"/>
    <w:rsid w:val="00991234"/>
    <w:rsid w:val="00991448"/>
    <w:rsid w:val="00991AB2"/>
    <w:rsid w:val="00991CB3"/>
    <w:rsid w:val="0099209A"/>
    <w:rsid w:val="00992478"/>
    <w:rsid w:val="009926DE"/>
    <w:rsid w:val="00992FD7"/>
    <w:rsid w:val="0099311B"/>
    <w:rsid w:val="009931B5"/>
    <w:rsid w:val="009933E4"/>
    <w:rsid w:val="0099382C"/>
    <w:rsid w:val="00994293"/>
    <w:rsid w:val="009947C7"/>
    <w:rsid w:val="00994F58"/>
    <w:rsid w:val="009953A7"/>
    <w:rsid w:val="009955F2"/>
    <w:rsid w:val="00995B87"/>
    <w:rsid w:val="00995EA7"/>
    <w:rsid w:val="00995F2D"/>
    <w:rsid w:val="00996230"/>
    <w:rsid w:val="00996BA8"/>
    <w:rsid w:val="00996FC9"/>
    <w:rsid w:val="009970F9"/>
    <w:rsid w:val="00997295"/>
    <w:rsid w:val="009973BB"/>
    <w:rsid w:val="009975EC"/>
    <w:rsid w:val="00997A43"/>
    <w:rsid w:val="00997C45"/>
    <w:rsid w:val="009A03A7"/>
    <w:rsid w:val="009A044E"/>
    <w:rsid w:val="009A067C"/>
    <w:rsid w:val="009A1227"/>
    <w:rsid w:val="009A1307"/>
    <w:rsid w:val="009A158A"/>
    <w:rsid w:val="009A1E9B"/>
    <w:rsid w:val="009A2220"/>
    <w:rsid w:val="009A2248"/>
    <w:rsid w:val="009A269C"/>
    <w:rsid w:val="009A2AD3"/>
    <w:rsid w:val="009A2D3C"/>
    <w:rsid w:val="009A36B2"/>
    <w:rsid w:val="009A38EA"/>
    <w:rsid w:val="009A3E8B"/>
    <w:rsid w:val="009A3FA1"/>
    <w:rsid w:val="009A407E"/>
    <w:rsid w:val="009A4373"/>
    <w:rsid w:val="009A4971"/>
    <w:rsid w:val="009A4AC9"/>
    <w:rsid w:val="009A4D08"/>
    <w:rsid w:val="009A50B6"/>
    <w:rsid w:val="009A5168"/>
    <w:rsid w:val="009A52F8"/>
    <w:rsid w:val="009A55D4"/>
    <w:rsid w:val="009A57DC"/>
    <w:rsid w:val="009A5B5D"/>
    <w:rsid w:val="009A5BBF"/>
    <w:rsid w:val="009A5BCC"/>
    <w:rsid w:val="009A5D58"/>
    <w:rsid w:val="009A5E4F"/>
    <w:rsid w:val="009A6453"/>
    <w:rsid w:val="009A7350"/>
    <w:rsid w:val="009A76FE"/>
    <w:rsid w:val="009A7BBC"/>
    <w:rsid w:val="009A7CDC"/>
    <w:rsid w:val="009B0036"/>
    <w:rsid w:val="009B02F4"/>
    <w:rsid w:val="009B0519"/>
    <w:rsid w:val="009B051D"/>
    <w:rsid w:val="009B0738"/>
    <w:rsid w:val="009B08E4"/>
    <w:rsid w:val="009B0977"/>
    <w:rsid w:val="009B09EA"/>
    <w:rsid w:val="009B15F6"/>
    <w:rsid w:val="009B1713"/>
    <w:rsid w:val="009B1721"/>
    <w:rsid w:val="009B18F4"/>
    <w:rsid w:val="009B1E96"/>
    <w:rsid w:val="009B23DC"/>
    <w:rsid w:val="009B25F5"/>
    <w:rsid w:val="009B27F7"/>
    <w:rsid w:val="009B2E77"/>
    <w:rsid w:val="009B2FC4"/>
    <w:rsid w:val="009B3383"/>
    <w:rsid w:val="009B367E"/>
    <w:rsid w:val="009B3F96"/>
    <w:rsid w:val="009B45A3"/>
    <w:rsid w:val="009B462D"/>
    <w:rsid w:val="009B46C0"/>
    <w:rsid w:val="009B479F"/>
    <w:rsid w:val="009B4DFD"/>
    <w:rsid w:val="009B50FB"/>
    <w:rsid w:val="009B536C"/>
    <w:rsid w:val="009B62F2"/>
    <w:rsid w:val="009B6D9A"/>
    <w:rsid w:val="009B753E"/>
    <w:rsid w:val="009B78BC"/>
    <w:rsid w:val="009C0765"/>
    <w:rsid w:val="009C0F63"/>
    <w:rsid w:val="009C114E"/>
    <w:rsid w:val="009C12E9"/>
    <w:rsid w:val="009C1784"/>
    <w:rsid w:val="009C2054"/>
    <w:rsid w:val="009C24EB"/>
    <w:rsid w:val="009C2594"/>
    <w:rsid w:val="009C2A6B"/>
    <w:rsid w:val="009C2C3F"/>
    <w:rsid w:val="009C2DE0"/>
    <w:rsid w:val="009C2E5A"/>
    <w:rsid w:val="009C30A3"/>
    <w:rsid w:val="009C318D"/>
    <w:rsid w:val="009C341D"/>
    <w:rsid w:val="009C3B6A"/>
    <w:rsid w:val="009C3FD0"/>
    <w:rsid w:val="009C451B"/>
    <w:rsid w:val="009C547C"/>
    <w:rsid w:val="009C5806"/>
    <w:rsid w:val="009C5F2F"/>
    <w:rsid w:val="009C6341"/>
    <w:rsid w:val="009C653D"/>
    <w:rsid w:val="009C68D1"/>
    <w:rsid w:val="009C6A9E"/>
    <w:rsid w:val="009C6C06"/>
    <w:rsid w:val="009C721E"/>
    <w:rsid w:val="009C7B7E"/>
    <w:rsid w:val="009C7E43"/>
    <w:rsid w:val="009D0188"/>
    <w:rsid w:val="009D06E2"/>
    <w:rsid w:val="009D0ADA"/>
    <w:rsid w:val="009D0CF2"/>
    <w:rsid w:val="009D1292"/>
    <w:rsid w:val="009D192F"/>
    <w:rsid w:val="009D1F8D"/>
    <w:rsid w:val="009D1FAB"/>
    <w:rsid w:val="009D2787"/>
    <w:rsid w:val="009D2C24"/>
    <w:rsid w:val="009D3E39"/>
    <w:rsid w:val="009D4399"/>
    <w:rsid w:val="009D444A"/>
    <w:rsid w:val="009D464E"/>
    <w:rsid w:val="009D4E74"/>
    <w:rsid w:val="009D4F20"/>
    <w:rsid w:val="009D4F9E"/>
    <w:rsid w:val="009D56E3"/>
    <w:rsid w:val="009D59A8"/>
    <w:rsid w:val="009D5B81"/>
    <w:rsid w:val="009D62F2"/>
    <w:rsid w:val="009D6BBC"/>
    <w:rsid w:val="009D7B2B"/>
    <w:rsid w:val="009E0201"/>
    <w:rsid w:val="009E05D6"/>
    <w:rsid w:val="009E0DD4"/>
    <w:rsid w:val="009E0DED"/>
    <w:rsid w:val="009E12C8"/>
    <w:rsid w:val="009E13D7"/>
    <w:rsid w:val="009E1E3D"/>
    <w:rsid w:val="009E202C"/>
    <w:rsid w:val="009E28B9"/>
    <w:rsid w:val="009E2E3B"/>
    <w:rsid w:val="009E3980"/>
    <w:rsid w:val="009E3B55"/>
    <w:rsid w:val="009E43F8"/>
    <w:rsid w:val="009E4599"/>
    <w:rsid w:val="009E469A"/>
    <w:rsid w:val="009E5646"/>
    <w:rsid w:val="009E5682"/>
    <w:rsid w:val="009E5806"/>
    <w:rsid w:val="009E6012"/>
    <w:rsid w:val="009E6B24"/>
    <w:rsid w:val="009E7B1F"/>
    <w:rsid w:val="009E7C7C"/>
    <w:rsid w:val="009E7EDD"/>
    <w:rsid w:val="009F0907"/>
    <w:rsid w:val="009F0AA2"/>
    <w:rsid w:val="009F1097"/>
    <w:rsid w:val="009F13D5"/>
    <w:rsid w:val="009F1983"/>
    <w:rsid w:val="009F1F41"/>
    <w:rsid w:val="009F23BD"/>
    <w:rsid w:val="009F24FC"/>
    <w:rsid w:val="009F28DA"/>
    <w:rsid w:val="009F2913"/>
    <w:rsid w:val="009F38CE"/>
    <w:rsid w:val="009F3C50"/>
    <w:rsid w:val="009F3FDB"/>
    <w:rsid w:val="009F421A"/>
    <w:rsid w:val="009F425D"/>
    <w:rsid w:val="009F42B3"/>
    <w:rsid w:val="009F48AA"/>
    <w:rsid w:val="009F4ACA"/>
    <w:rsid w:val="009F4E34"/>
    <w:rsid w:val="009F532D"/>
    <w:rsid w:val="009F583B"/>
    <w:rsid w:val="009F5ABB"/>
    <w:rsid w:val="009F6253"/>
    <w:rsid w:val="009F6ACC"/>
    <w:rsid w:val="009F6B67"/>
    <w:rsid w:val="009F7087"/>
    <w:rsid w:val="009F76C4"/>
    <w:rsid w:val="009F7DA5"/>
    <w:rsid w:val="009F7F00"/>
    <w:rsid w:val="00A00672"/>
    <w:rsid w:val="00A00F9E"/>
    <w:rsid w:val="00A012DB"/>
    <w:rsid w:val="00A01594"/>
    <w:rsid w:val="00A01832"/>
    <w:rsid w:val="00A01A2C"/>
    <w:rsid w:val="00A01B11"/>
    <w:rsid w:val="00A0283A"/>
    <w:rsid w:val="00A02887"/>
    <w:rsid w:val="00A02FCC"/>
    <w:rsid w:val="00A03F4D"/>
    <w:rsid w:val="00A04318"/>
    <w:rsid w:val="00A0457F"/>
    <w:rsid w:val="00A04927"/>
    <w:rsid w:val="00A0497C"/>
    <w:rsid w:val="00A04BBC"/>
    <w:rsid w:val="00A04BE9"/>
    <w:rsid w:val="00A04F4B"/>
    <w:rsid w:val="00A04FFB"/>
    <w:rsid w:val="00A0585A"/>
    <w:rsid w:val="00A05CBF"/>
    <w:rsid w:val="00A05E5A"/>
    <w:rsid w:val="00A0695D"/>
    <w:rsid w:val="00A06E12"/>
    <w:rsid w:val="00A07554"/>
    <w:rsid w:val="00A10AC7"/>
    <w:rsid w:val="00A10AEE"/>
    <w:rsid w:val="00A10D9D"/>
    <w:rsid w:val="00A10DA5"/>
    <w:rsid w:val="00A11319"/>
    <w:rsid w:val="00A11A60"/>
    <w:rsid w:val="00A1248A"/>
    <w:rsid w:val="00A12A2D"/>
    <w:rsid w:val="00A12E81"/>
    <w:rsid w:val="00A13915"/>
    <w:rsid w:val="00A13C4E"/>
    <w:rsid w:val="00A13F87"/>
    <w:rsid w:val="00A14560"/>
    <w:rsid w:val="00A14628"/>
    <w:rsid w:val="00A14D7C"/>
    <w:rsid w:val="00A14E53"/>
    <w:rsid w:val="00A15418"/>
    <w:rsid w:val="00A16B7B"/>
    <w:rsid w:val="00A178E7"/>
    <w:rsid w:val="00A178FD"/>
    <w:rsid w:val="00A17F7B"/>
    <w:rsid w:val="00A20195"/>
    <w:rsid w:val="00A2025F"/>
    <w:rsid w:val="00A20303"/>
    <w:rsid w:val="00A2032E"/>
    <w:rsid w:val="00A20829"/>
    <w:rsid w:val="00A20C72"/>
    <w:rsid w:val="00A225C6"/>
    <w:rsid w:val="00A23B92"/>
    <w:rsid w:val="00A23F13"/>
    <w:rsid w:val="00A240BF"/>
    <w:rsid w:val="00A242E1"/>
    <w:rsid w:val="00A24643"/>
    <w:rsid w:val="00A249A0"/>
    <w:rsid w:val="00A249F7"/>
    <w:rsid w:val="00A24B24"/>
    <w:rsid w:val="00A24B51"/>
    <w:rsid w:val="00A24C80"/>
    <w:rsid w:val="00A24E4F"/>
    <w:rsid w:val="00A252C3"/>
    <w:rsid w:val="00A252CE"/>
    <w:rsid w:val="00A26FE8"/>
    <w:rsid w:val="00A2728D"/>
    <w:rsid w:val="00A2746B"/>
    <w:rsid w:val="00A27F83"/>
    <w:rsid w:val="00A3027C"/>
    <w:rsid w:val="00A30A76"/>
    <w:rsid w:val="00A30E02"/>
    <w:rsid w:val="00A30EB9"/>
    <w:rsid w:val="00A31367"/>
    <w:rsid w:val="00A3186F"/>
    <w:rsid w:val="00A32CAE"/>
    <w:rsid w:val="00A3371D"/>
    <w:rsid w:val="00A33C2B"/>
    <w:rsid w:val="00A33EE9"/>
    <w:rsid w:val="00A341C0"/>
    <w:rsid w:val="00A348D3"/>
    <w:rsid w:val="00A34F21"/>
    <w:rsid w:val="00A34FA2"/>
    <w:rsid w:val="00A35037"/>
    <w:rsid w:val="00A3523E"/>
    <w:rsid w:val="00A352BC"/>
    <w:rsid w:val="00A35C4E"/>
    <w:rsid w:val="00A3673A"/>
    <w:rsid w:val="00A367E1"/>
    <w:rsid w:val="00A36884"/>
    <w:rsid w:val="00A3707D"/>
    <w:rsid w:val="00A37822"/>
    <w:rsid w:val="00A37C8C"/>
    <w:rsid w:val="00A37DB5"/>
    <w:rsid w:val="00A37E59"/>
    <w:rsid w:val="00A37FEC"/>
    <w:rsid w:val="00A40757"/>
    <w:rsid w:val="00A4079A"/>
    <w:rsid w:val="00A40A62"/>
    <w:rsid w:val="00A40BF6"/>
    <w:rsid w:val="00A40C5B"/>
    <w:rsid w:val="00A40D9E"/>
    <w:rsid w:val="00A40E17"/>
    <w:rsid w:val="00A40FEF"/>
    <w:rsid w:val="00A412B4"/>
    <w:rsid w:val="00A415A9"/>
    <w:rsid w:val="00A41767"/>
    <w:rsid w:val="00A417AF"/>
    <w:rsid w:val="00A42538"/>
    <w:rsid w:val="00A42AAE"/>
    <w:rsid w:val="00A42BE2"/>
    <w:rsid w:val="00A43680"/>
    <w:rsid w:val="00A43CB2"/>
    <w:rsid w:val="00A44286"/>
    <w:rsid w:val="00A4460E"/>
    <w:rsid w:val="00A446ED"/>
    <w:rsid w:val="00A44794"/>
    <w:rsid w:val="00A448EF"/>
    <w:rsid w:val="00A44E0A"/>
    <w:rsid w:val="00A44F16"/>
    <w:rsid w:val="00A4514A"/>
    <w:rsid w:val="00A4544B"/>
    <w:rsid w:val="00A45793"/>
    <w:rsid w:val="00A45AAA"/>
    <w:rsid w:val="00A4612A"/>
    <w:rsid w:val="00A461A9"/>
    <w:rsid w:val="00A463B8"/>
    <w:rsid w:val="00A46541"/>
    <w:rsid w:val="00A473A0"/>
    <w:rsid w:val="00A47613"/>
    <w:rsid w:val="00A50017"/>
    <w:rsid w:val="00A5097F"/>
    <w:rsid w:val="00A50A2F"/>
    <w:rsid w:val="00A517D9"/>
    <w:rsid w:val="00A51A64"/>
    <w:rsid w:val="00A51A85"/>
    <w:rsid w:val="00A53E27"/>
    <w:rsid w:val="00A543EB"/>
    <w:rsid w:val="00A54707"/>
    <w:rsid w:val="00A5527F"/>
    <w:rsid w:val="00A555A6"/>
    <w:rsid w:val="00A555DC"/>
    <w:rsid w:val="00A556DE"/>
    <w:rsid w:val="00A55B03"/>
    <w:rsid w:val="00A55DC7"/>
    <w:rsid w:val="00A56028"/>
    <w:rsid w:val="00A562E6"/>
    <w:rsid w:val="00A56DCA"/>
    <w:rsid w:val="00A56EB0"/>
    <w:rsid w:val="00A57135"/>
    <w:rsid w:val="00A57514"/>
    <w:rsid w:val="00A57824"/>
    <w:rsid w:val="00A606AE"/>
    <w:rsid w:val="00A608D2"/>
    <w:rsid w:val="00A60A7C"/>
    <w:rsid w:val="00A60AD2"/>
    <w:rsid w:val="00A60DB5"/>
    <w:rsid w:val="00A60DE3"/>
    <w:rsid w:val="00A60EDD"/>
    <w:rsid w:val="00A62F1B"/>
    <w:rsid w:val="00A63118"/>
    <w:rsid w:val="00A63947"/>
    <w:rsid w:val="00A63F11"/>
    <w:rsid w:val="00A64063"/>
    <w:rsid w:val="00A64B40"/>
    <w:rsid w:val="00A64DD4"/>
    <w:rsid w:val="00A6526E"/>
    <w:rsid w:val="00A6574A"/>
    <w:rsid w:val="00A66962"/>
    <w:rsid w:val="00A66988"/>
    <w:rsid w:val="00A66C6F"/>
    <w:rsid w:val="00A66F0B"/>
    <w:rsid w:val="00A67BA0"/>
    <w:rsid w:val="00A70049"/>
    <w:rsid w:val="00A700D2"/>
    <w:rsid w:val="00A71831"/>
    <w:rsid w:val="00A72295"/>
    <w:rsid w:val="00A722AF"/>
    <w:rsid w:val="00A72310"/>
    <w:rsid w:val="00A72611"/>
    <w:rsid w:val="00A72FE5"/>
    <w:rsid w:val="00A73091"/>
    <w:rsid w:val="00A73156"/>
    <w:rsid w:val="00A7328B"/>
    <w:rsid w:val="00A73DA1"/>
    <w:rsid w:val="00A73EF0"/>
    <w:rsid w:val="00A74112"/>
    <w:rsid w:val="00A74B3D"/>
    <w:rsid w:val="00A7504B"/>
    <w:rsid w:val="00A75A7C"/>
    <w:rsid w:val="00A76160"/>
    <w:rsid w:val="00A76521"/>
    <w:rsid w:val="00A77154"/>
    <w:rsid w:val="00A77462"/>
    <w:rsid w:val="00A775F1"/>
    <w:rsid w:val="00A7792B"/>
    <w:rsid w:val="00A77E37"/>
    <w:rsid w:val="00A8034E"/>
    <w:rsid w:val="00A80774"/>
    <w:rsid w:val="00A80BD2"/>
    <w:rsid w:val="00A80E6F"/>
    <w:rsid w:val="00A81005"/>
    <w:rsid w:val="00A81543"/>
    <w:rsid w:val="00A81A39"/>
    <w:rsid w:val="00A825FF"/>
    <w:rsid w:val="00A8294F"/>
    <w:rsid w:val="00A8297B"/>
    <w:rsid w:val="00A8413F"/>
    <w:rsid w:val="00A841C9"/>
    <w:rsid w:val="00A848B2"/>
    <w:rsid w:val="00A84E08"/>
    <w:rsid w:val="00A851FA"/>
    <w:rsid w:val="00A85204"/>
    <w:rsid w:val="00A85602"/>
    <w:rsid w:val="00A85A19"/>
    <w:rsid w:val="00A8631F"/>
    <w:rsid w:val="00A86452"/>
    <w:rsid w:val="00A87611"/>
    <w:rsid w:val="00A87D49"/>
    <w:rsid w:val="00A90030"/>
    <w:rsid w:val="00A90046"/>
    <w:rsid w:val="00A90542"/>
    <w:rsid w:val="00A909B5"/>
    <w:rsid w:val="00A90A3E"/>
    <w:rsid w:val="00A90AD0"/>
    <w:rsid w:val="00A9101B"/>
    <w:rsid w:val="00A91662"/>
    <w:rsid w:val="00A91A56"/>
    <w:rsid w:val="00A91A5F"/>
    <w:rsid w:val="00A91FD2"/>
    <w:rsid w:val="00A93845"/>
    <w:rsid w:val="00A93DD6"/>
    <w:rsid w:val="00A93E60"/>
    <w:rsid w:val="00A94AD1"/>
    <w:rsid w:val="00A94ED5"/>
    <w:rsid w:val="00A9525F"/>
    <w:rsid w:val="00A953AC"/>
    <w:rsid w:val="00A95437"/>
    <w:rsid w:val="00A95523"/>
    <w:rsid w:val="00A95852"/>
    <w:rsid w:val="00A95BDD"/>
    <w:rsid w:val="00A96705"/>
    <w:rsid w:val="00A968C9"/>
    <w:rsid w:val="00A9696C"/>
    <w:rsid w:val="00A977AE"/>
    <w:rsid w:val="00A977B0"/>
    <w:rsid w:val="00AA07C3"/>
    <w:rsid w:val="00AA0987"/>
    <w:rsid w:val="00AA1283"/>
    <w:rsid w:val="00AA1E72"/>
    <w:rsid w:val="00AA274A"/>
    <w:rsid w:val="00AA2F11"/>
    <w:rsid w:val="00AA3595"/>
    <w:rsid w:val="00AA3F6D"/>
    <w:rsid w:val="00AA3FD0"/>
    <w:rsid w:val="00AA4582"/>
    <w:rsid w:val="00AA5177"/>
    <w:rsid w:val="00AA54D3"/>
    <w:rsid w:val="00AA55C7"/>
    <w:rsid w:val="00AA5D97"/>
    <w:rsid w:val="00AA6367"/>
    <w:rsid w:val="00AA6792"/>
    <w:rsid w:val="00AA67FF"/>
    <w:rsid w:val="00AA6F87"/>
    <w:rsid w:val="00AA7215"/>
    <w:rsid w:val="00AA7CAF"/>
    <w:rsid w:val="00AB0046"/>
    <w:rsid w:val="00AB08CE"/>
    <w:rsid w:val="00AB0C38"/>
    <w:rsid w:val="00AB1750"/>
    <w:rsid w:val="00AB1878"/>
    <w:rsid w:val="00AB1899"/>
    <w:rsid w:val="00AB1C75"/>
    <w:rsid w:val="00AB1DE7"/>
    <w:rsid w:val="00AB1E7B"/>
    <w:rsid w:val="00AB241B"/>
    <w:rsid w:val="00AB24F1"/>
    <w:rsid w:val="00AB2F28"/>
    <w:rsid w:val="00AB365E"/>
    <w:rsid w:val="00AB443B"/>
    <w:rsid w:val="00AB44CD"/>
    <w:rsid w:val="00AB4667"/>
    <w:rsid w:val="00AB46C3"/>
    <w:rsid w:val="00AB4E1B"/>
    <w:rsid w:val="00AB4EA7"/>
    <w:rsid w:val="00AB4FEF"/>
    <w:rsid w:val="00AB57F6"/>
    <w:rsid w:val="00AB5AF3"/>
    <w:rsid w:val="00AB5DEE"/>
    <w:rsid w:val="00AB5E4E"/>
    <w:rsid w:val="00AB62E6"/>
    <w:rsid w:val="00AB638D"/>
    <w:rsid w:val="00AB6B43"/>
    <w:rsid w:val="00AB6E51"/>
    <w:rsid w:val="00AB76E0"/>
    <w:rsid w:val="00AB7A71"/>
    <w:rsid w:val="00AB7C65"/>
    <w:rsid w:val="00AC0076"/>
    <w:rsid w:val="00AC0A98"/>
    <w:rsid w:val="00AC0D24"/>
    <w:rsid w:val="00AC14EC"/>
    <w:rsid w:val="00AC1729"/>
    <w:rsid w:val="00AC18B9"/>
    <w:rsid w:val="00AC2954"/>
    <w:rsid w:val="00AC2E5B"/>
    <w:rsid w:val="00AC3200"/>
    <w:rsid w:val="00AC3300"/>
    <w:rsid w:val="00AC414B"/>
    <w:rsid w:val="00AC41AA"/>
    <w:rsid w:val="00AC420C"/>
    <w:rsid w:val="00AC4342"/>
    <w:rsid w:val="00AC49A6"/>
    <w:rsid w:val="00AC4BF9"/>
    <w:rsid w:val="00AC50F2"/>
    <w:rsid w:val="00AC535C"/>
    <w:rsid w:val="00AC539F"/>
    <w:rsid w:val="00AC559C"/>
    <w:rsid w:val="00AC563F"/>
    <w:rsid w:val="00AC6147"/>
    <w:rsid w:val="00AC6261"/>
    <w:rsid w:val="00AC63A4"/>
    <w:rsid w:val="00AC645F"/>
    <w:rsid w:val="00AC6DDB"/>
    <w:rsid w:val="00AC779C"/>
    <w:rsid w:val="00AD04FE"/>
    <w:rsid w:val="00AD06C1"/>
    <w:rsid w:val="00AD0B87"/>
    <w:rsid w:val="00AD119D"/>
    <w:rsid w:val="00AD12AC"/>
    <w:rsid w:val="00AD1536"/>
    <w:rsid w:val="00AD1C9E"/>
    <w:rsid w:val="00AD27B4"/>
    <w:rsid w:val="00AD3012"/>
    <w:rsid w:val="00AD3222"/>
    <w:rsid w:val="00AD32F7"/>
    <w:rsid w:val="00AD3A95"/>
    <w:rsid w:val="00AD3DB0"/>
    <w:rsid w:val="00AD44E5"/>
    <w:rsid w:val="00AD4519"/>
    <w:rsid w:val="00AD481E"/>
    <w:rsid w:val="00AD50E2"/>
    <w:rsid w:val="00AD584B"/>
    <w:rsid w:val="00AD5DC0"/>
    <w:rsid w:val="00AD5ED6"/>
    <w:rsid w:val="00AD5F24"/>
    <w:rsid w:val="00AD5FD7"/>
    <w:rsid w:val="00AD6061"/>
    <w:rsid w:val="00AD63D3"/>
    <w:rsid w:val="00AD65BA"/>
    <w:rsid w:val="00AD6851"/>
    <w:rsid w:val="00AD6B5D"/>
    <w:rsid w:val="00AD7027"/>
    <w:rsid w:val="00AD71D9"/>
    <w:rsid w:val="00AD7E85"/>
    <w:rsid w:val="00AE0B67"/>
    <w:rsid w:val="00AE0EE7"/>
    <w:rsid w:val="00AE11ED"/>
    <w:rsid w:val="00AE120E"/>
    <w:rsid w:val="00AE17A1"/>
    <w:rsid w:val="00AE22BE"/>
    <w:rsid w:val="00AE244F"/>
    <w:rsid w:val="00AE24A2"/>
    <w:rsid w:val="00AE2AD5"/>
    <w:rsid w:val="00AE3436"/>
    <w:rsid w:val="00AE35CD"/>
    <w:rsid w:val="00AE5544"/>
    <w:rsid w:val="00AE64A7"/>
    <w:rsid w:val="00AE6D16"/>
    <w:rsid w:val="00AE6E66"/>
    <w:rsid w:val="00AE70AA"/>
    <w:rsid w:val="00AE73F3"/>
    <w:rsid w:val="00AF0271"/>
    <w:rsid w:val="00AF099F"/>
    <w:rsid w:val="00AF1218"/>
    <w:rsid w:val="00AF1248"/>
    <w:rsid w:val="00AF12CD"/>
    <w:rsid w:val="00AF164B"/>
    <w:rsid w:val="00AF16F5"/>
    <w:rsid w:val="00AF190A"/>
    <w:rsid w:val="00AF1BD5"/>
    <w:rsid w:val="00AF1CA0"/>
    <w:rsid w:val="00AF1E89"/>
    <w:rsid w:val="00AF1FFD"/>
    <w:rsid w:val="00AF205D"/>
    <w:rsid w:val="00AF242C"/>
    <w:rsid w:val="00AF26D1"/>
    <w:rsid w:val="00AF3022"/>
    <w:rsid w:val="00AF312A"/>
    <w:rsid w:val="00AF3241"/>
    <w:rsid w:val="00AF3A3C"/>
    <w:rsid w:val="00AF3E31"/>
    <w:rsid w:val="00AF4109"/>
    <w:rsid w:val="00AF4235"/>
    <w:rsid w:val="00AF489E"/>
    <w:rsid w:val="00AF4B35"/>
    <w:rsid w:val="00AF5E98"/>
    <w:rsid w:val="00AF5ED0"/>
    <w:rsid w:val="00AF68D2"/>
    <w:rsid w:val="00AF732C"/>
    <w:rsid w:val="00AF74C8"/>
    <w:rsid w:val="00AF7B4A"/>
    <w:rsid w:val="00AF7C95"/>
    <w:rsid w:val="00AF7DE7"/>
    <w:rsid w:val="00B00085"/>
    <w:rsid w:val="00B00966"/>
    <w:rsid w:val="00B00CC1"/>
    <w:rsid w:val="00B00DE8"/>
    <w:rsid w:val="00B010C7"/>
    <w:rsid w:val="00B011F2"/>
    <w:rsid w:val="00B012DD"/>
    <w:rsid w:val="00B019A1"/>
    <w:rsid w:val="00B01EA9"/>
    <w:rsid w:val="00B0214A"/>
    <w:rsid w:val="00B0247F"/>
    <w:rsid w:val="00B02711"/>
    <w:rsid w:val="00B02A41"/>
    <w:rsid w:val="00B02B0D"/>
    <w:rsid w:val="00B0343C"/>
    <w:rsid w:val="00B036E0"/>
    <w:rsid w:val="00B039F0"/>
    <w:rsid w:val="00B03AF2"/>
    <w:rsid w:val="00B03C0C"/>
    <w:rsid w:val="00B03D11"/>
    <w:rsid w:val="00B04268"/>
    <w:rsid w:val="00B049D7"/>
    <w:rsid w:val="00B04A6B"/>
    <w:rsid w:val="00B04F49"/>
    <w:rsid w:val="00B05191"/>
    <w:rsid w:val="00B0527D"/>
    <w:rsid w:val="00B0532B"/>
    <w:rsid w:val="00B05EF9"/>
    <w:rsid w:val="00B067C3"/>
    <w:rsid w:val="00B06952"/>
    <w:rsid w:val="00B06E02"/>
    <w:rsid w:val="00B07348"/>
    <w:rsid w:val="00B0772A"/>
    <w:rsid w:val="00B078A9"/>
    <w:rsid w:val="00B07CFD"/>
    <w:rsid w:val="00B100AC"/>
    <w:rsid w:val="00B103A6"/>
    <w:rsid w:val="00B1053E"/>
    <w:rsid w:val="00B10A61"/>
    <w:rsid w:val="00B10E27"/>
    <w:rsid w:val="00B110AB"/>
    <w:rsid w:val="00B110C1"/>
    <w:rsid w:val="00B110DB"/>
    <w:rsid w:val="00B12935"/>
    <w:rsid w:val="00B129B7"/>
    <w:rsid w:val="00B12B2D"/>
    <w:rsid w:val="00B13128"/>
    <w:rsid w:val="00B13721"/>
    <w:rsid w:val="00B139AE"/>
    <w:rsid w:val="00B13C4B"/>
    <w:rsid w:val="00B14EA1"/>
    <w:rsid w:val="00B16262"/>
    <w:rsid w:val="00B16A1D"/>
    <w:rsid w:val="00B16BE0"/>
    <w:rsid w:val="00B16C80"/>
    <w:rsid w:val="00B16D2E"/>
    <w:rsid w:val="00B170A3"/>
    <w:rsid w:val="00B1783A"/>
    <w:rsid w:val="00B17ADD"/>
    <w:rsid w:val="00B17B02"/>
    <w:rsid w:val="00B17DB6"/>
    <w:rsid w:val="00B20173"/>
    <w:rsid w:val="00B201FA"/>
    <w:rsid w:val="00B20366"/>
    <w:rsid w:val="00B209F4"/>
    <w:rsid w:val="00B20BB9"/>
    <w:rsid w:val="00B20F01"/>
    <w:rsid w:val="00B2122C"/>
    <w:rsid w:val="00B21242"/>
    <w:rsid w:val="00B213AF"/>
    <w:rsid w:val="00B21E9A"/>
    <w:rsid w:val="00B2229F"/>
    <w:rsid w:val="00B223D6"/>
    <w:rsid w:val="00B22D04"/>
    <w:rsid w:val="00B23068"/>
    <w:rsid w:val="00B237FA"/>
    <w:rsid w:val="00B2387C"/>
    <w:rsid w:val="00B23E91"/>
    <w:rsid w:val="00B23FEF"/>
    <w:rsid w:val="00B24250"/>
    <w:rsid w:val="00B2429A"/>
    <w:rsid w:val="00B24950"/>
    <w:rsid w:val="00B24D9B"/>
    <w:rsid w:val="00B24E45"/>
    <w:rsid w:val="00B24EA2"/>
    <w:rsid w:val="00B2623A"/>
    <w:rsid w:val="00B26519"/>
    <w:rsid w:val="00B26E23"/>
    <w:rsid w:val="00B270B6"/>
    <w:rsid w:val="00B2757E"/>
    <w:rsid w:val="00B27B66"/>
    <w:rsid w:val="00B27DEF"/>
    <w:rsid w:val="00B3002A"/>
    <w:rsid w:val="00B30909"/>
    <w:rsid w:val="00B30A94"/>
    <w:rsid w:val="00B30B56"/>
    <w:rsid w:val="00B30BDE"/>
    <w:rsid w:val="00B30CDD"/>
    <w:rsid w:val="00B30D6F"/>
    <w:rsid w:val="00B30FF5"/>
    <w:rsid w:val="00B31061"/>
    <w:rsid w:val="00B31322"/>
    <w:rsid w:val="00B31606"/>
    <w:rsid w:val="00B31D49"/>
    <w:rsid w:val="00B32126"/>
    <w:rsid w:val="00B329C7"/>
    <w:rsid w:val="00B33729"/>
    <w:rsid w:val="00B33DC4"/>
    <w:rsid w:val="00B34F16"/>
    <w:rsid w:val="00B35DC3"/>
    <w:rsid w:val="00B3677B"/>
    <w:rsid w:val="00B369D3"/>
    <w:rsid w:val="00B36A14"/>
    <w:rsid w:val="00B3738D"/>
    <w:rsid w:val="00B378BA"/>
    <w:rsid w:val="00B378F9"/>
    <w:rsid w:val="00B37E05"/>
    <w:rsid w:val="00B37E10"/>
    <w:rsid w:val="00B37F65"/>
    <w:rsid w:val="00B37F8A"/>
    <w:rsid w:val="00B40B2F"/>
    <w:rsid w:val="00B40BE5"/>
    <w:rsid w:val="00B40C9B"/>
    <w:rsid w:val="00B40E29"/>
    <w:rsid w:val="00B40E83"/>
    <w:rsid w:val="00B414B6"/>
    <w:rsid w:val="00B4152F"/>
    <w:rsid w:val="00B417F7"/>
    <w:rsid w:val="00B418FB"/>
    <w:rsid w:val="00B41A74"/>
    <w:rsid w:val="00B41DDD"/>
    <w:rsid w:val="00B41FED"/>
    <w:rsid w:val="00B421CC"/>
    <w:rsid w:val="00B42914"/>
    <w:rsid w:val="00B42F86"/>
    <w:rsid w:val="00B432B9"/>
    <w:rsid w:val="00B4333D"/>
    <w:rsid w:val="00B43A5C"/>
    <w:rsid w:val="00B43CE3"/>
    <w:rsid w:val="00B43E7F"/>
    <w:rsid w:val="00B43EAE"/>
    <w:rsid w:val="00B44C1C"/>
    <w:rsid w:val="00B44D0D"/>
    <w:rsid w:val="00B45BCB"/>
    <w:rsid w:val="00B45C7E"/>
    <w:rsid w:val="00B45D1C"/>
    <w:rsid w:val="00B46240"/>
    <w:rsid w:val="00B4647C"/>
    <w:rsid w:val="00B466BC"/>
    <w:rsid w:val="00B47048"/>
    <w:rsid w:val="00B4726C"/>
    <w:rsid w:val="00B47270"/>
    <w:rsid w:val="00B476DE"/>
    <w:rsid w:val="00B47730"/>
    <w:rsid w:val="00B50E5D"/>
    <w:rsid w:val="00B50F25"/>
    <w:rsid w:val="00B51846"/>
    <w:rsid w:val="00B5196B"/>
    <w:rsid w:val="00B5197A"/>
    <w:rsid w:val="00B51B93"/>
    <w:rsid w:val="00B52123"/>
    <w:rsid w:val="00B52192"/>
    <w:rsid w:val="00B529DF"/>
    <w:rsid w:val="00B529E2"/>
    <w:rsid w:val="00B52E1C"/>
    <w:rsid w:val="00B53232"/>
    <w:rsid w:val="00B534FA"/>
    <w:rsid w:val="00B538A7"/>
    <w:rsid w:val="00B53984"/>
    <w:rsid w:val="00B53EDF"/>
    <w:rsid w:val="00B542CF"/>
    <w:rsid w:val="00B5493B"/>
    <w:rsid w:val="00B5516C"/>
    <w:rsid w:val="00B554CE"/>
    <w:rsid w:val="00B5559A"/>
    <w:rsid w:val="00B5581C"/>
    <w:rsid w:val="00B55E9E"/>
    <w:rsid w:val="00B565F1"/>
    <w:rsid w:val="00B566E2"/>
    <w:rsid w:val="00B56995"/>
    <w:rsid w:val="00B56C71"/>
    <w:rsid w:val="00B56E2A"/>
    <w:rsid w:val="00B5703E"/>
    <w:rsid w:val="00B573FE"/>
    <w:rsid w:val="00B57DA2"/>
    <w:rsid w:val="00B57DC1"/>
    <w:rsid w:val="00B57EE0"/>
    <w:rsid w:val="00B602EC"/>
    <w:rsid w:val="00B6079A"/>
    <w:rsid w:val="00B608A3"/>
    <w:rsid w:val="00B60FE8"/>
    <w:rsid w:val="00B6108F"/>
    <w:rsid w:val="00B6120B"/>
    <w:rsid w:val="00B61317"/>
    <w:rsid w:val="00B61869"/>
    <w:rsid w:val="00B61C85"/>
    <w:rsid w:val="00B62244"/>
    <w:rsid w:val="00B625C3"/>
    <w:rsid w:val="00B62756"/>
    <w:rsid w:val="00B6277B"/>
    <w:rsid w:val="00B62C37"/>
    <w:rsid w:val="00B63FEA"/>
    <w:rsid w:val="00B64205"/>
    <w:rsid w:val="00B6423F"/>
    <w:rsid w:val="00B64340"/>
    <w:rsid w:val="00B64364"/>
    <w:rsid w:val="00B646BF"/>
    <w:rsid w:val="00B64906"/>
    <w:rsid w:val="00B64941"/>
    <w:rsid w:val="00B654DB"/>
    <w:rsid w:val="00B657E8"/>
    <w:rsid w:val="00B65833"/>
    <w:rsid w:val="00B65A2D"/>
    <w:rsid w:val="00B65BBE"/>
    <w:rsid w:val="00B66261"/>
    <w:rsid w:val="00B66672"/>
    <w:rsid w:val="00B669A6"/>
    <w:rsid w:val="00B67B77"/>
    <w:rsid w:val="00B703AF"/>
    <w:rsid w:val="00B705CF"/>
    <w:rsid w:val="00B708FB"/>
    <w:rsid w:val="00B70BA5"/>
    <w:rsid w:val="00B711C3"/>
    <w:rsid w:val="00B711F0"/>
    <w:rsid w:val="00B714CA"/>
    <w:rsid w:val="00B716C8"/>
    <w:rsid w:val="00B721A5"/>
    <w:rsid w:val="00B721C7"/>
    <w:rsid w:val="00B727AD"/>
    <w:rsid w:val="00B72BCF"/>
    <w:rsid w:val="00B72E9D"/>
    <w:rsid w:val="00B7329D"/>
    <w:rsid w:val="00B73395"/>
    <w:rsid w:val="00B7353A"/>
    <w:rsid w:val="00B73850"/>
    <w:rsid w:val="00B738DC"/>
    <w:rsid w:val="00B7424D"/>
    <w:rsid w:val="00B743A0"/>
    <w:rsid w:val="00B74475"/>
    <w:rsid w:val="00B74858"/>
    <w:rsid w:val="00B74A09"/>
    <w:rsid w:val="00B74A3A"/>
    <w:rsid w:val="00B74D9E"/>
    <w:rsid w:val="00B75DEF"/>
    <w:rsid w:val="00B76064"/>
    <w:rsid w:val="00B76D84"/>
    <w:rsid w:val="00B77876"/>
    <w:rsid w:val="00B7788E"/>
    <w:rsid w:val="00B80307"/>
    <w:rsid w:val="00B809F2"/>
    <w:rsid w:val="00B80E88"/>
    <w:rsid w:val="00B81096"/>
    <w:rsid w:val="00B81142"/>
    <w:rsid w:val="00B816B8"/>
    <w:rsid w:val="00B81BBB"/>
    <w:rsid w:val="00B82272"/>
    <w:rsid w:val="00B82360"/>
    <w:rsid w:val="00B82B4F"/>
    <w:rsid w:val="00B82B78"/>
    <w:rsid w:val="00B82EDC"/>
    <w:rsid w:val="00B832B4"/>
    <w:rsid w:val="00B834AF"/>
    <w:rsid w:val="00B83D67"/>
    <w:rsid w:val="00B83E74"/>
    <w:rsid w:val="00B843FE"/>
    <w:rsid w:val="00B849FA"/>
    <w:rsid w:val="00B84D8D"/>
    <w:rsid w:val="00B84E02"/>
    <w:rsid w:val="00B85F9A"/>
    <w:rsid w:val="00B8608B"/>
    <w:rsid w:val="00B86279"/>
    <w:rsid w:val="00B86568"/>
    <w:rsid w:val="00B8675F"/>
    <w:rsid w:val="00B86928"/>
    <w:rsid w:val="00B86B13"/>
    <w:rsid w:val="00B87435"/>
    <w:rsid w:val="00B87481"/>
    <w:rsid w:val="00B87995"/>
    <w:rsid w:val="00B90241"/>
    <w:rsid w:val="00B906CA"/>
    <w:rsid w:val="00B907BB"/>
    <w:rsid w:val="00B90A20"/>
    <w:rsid w:val="00B90D42"/>
    <w:rsid w:val="00B90E95"/>
    <w:rsid w:val="00B9144F"/>
    <w:rsid w:val="00B91922"/>
    <w:rsid w:val="00B9199C"/>
    <w:rsid w:val="00B9248C"/>
    <w:rsid w:val="00B924EC"/>
    <w:rsid w:val="00B92EF5"/>
    <w:rsid w:val="00B93219"/>
    <w:rsid w:val="00B93271"/>
    <w:rsid w:val="00B9341C"/>
    <w:rsid w:val="00B9351A"/>
    <w:rsid w:val="00B93839"/>
    <w:rsid w:val="00B93973"/>
    <w:rsid w:val="00B93FD2"/>
    <w:rsid w:val="00B942AC"/>
    <w:rsid w:val="00B95110"/>
    <w:rsid w:val="00B95876"/>
    <w:rsid w:val="00B95D0F"/>
    <w:rsid w:val="00B96172"/>
    <w:rsid w:val="00B9621C"/>
    <w:rsid w:val="00B9632D"/>
    <w:rsid w:val="00B9667A"/>
    <w:rsid w:val="00B97227"/>
    <w:rsid w:val="00B976B5"/>
    <w:rsid w:val="00B979B5"/>
    <w:rsid w:val="00BA057E"/>
    <w:rsid w:val="00BA099B"/>
    <w:rsid w:val="00BA0C6C"/>
    <w:rsid w:val="00BA1530"/>
    <w:rsid w:val="00BA173D"/>
    <w:rsid w:val="00BA1944"/>
    <w:rsid w:val="00BA1B27"/>
    <w:rsid w:val="00BA1E27"/>
    <w:rsid w:val="00BA2285"/>
    <w:rsid w:val="00BA288F"/>
    <w:rsid w:val="00BA28CC"/>
    <w:rsid w:val="00BA2FDE"/>
    <w:rsid w:val="00BA376D"/>
    <w:rsid w:val="00BA39C4"/>
    <w:rsid w:val="00BA5399"/>
    <w:rsid w:val="00BA5F4E"/>
    <w:rsid w:val="00BA5FDD"/>
    <w:rsid w:val="00BA6673"/>
    <w:rsid w:val="00BA6AD2"/>
    <w:rsid w:val="00BA6B11"/>
    <w:rsid w:val="00BA6D69"/>
    <w:rsid w:val="00BA6F24"/>
    <w:rsid w:val="00BA707E"/>
    <w:rsid w:val="00BA74D8"/>
    <w:rsid w:val="00BA7B75"/>
    <w:rsid w:val="00BA7B94"/>
    <w:rsid w:val="00BA7E6D"/>
    <w:rsid w:val="00BB059C"/>
    <w:rsid w:val="00BB07AE"/>
    <w:rsid w:val="00BB0DAE"/>
    <w:rsid w:val="00BB0DBD"/>
    <w:rsid w:val="00BB0FA6"/>
    <w:rsid w:val="00BB1069"/>
    <w:rsid w:val="00BB106E"/>
    <w:rsid w:val="00BB11E9"/>
    <w:rsid w:val="00BB14D2"/>
    <w:rsid w:val="00BB1BC3"/>
    <w:rsid w:val="00BB27DB"/>
    <w:rsid w:val="00BB2AD2"/>
    <w:rsid w:val="00BB2DCA"/>
    <w:rsid w:val="00BB329E"/>
    <w:rsid w:val="00BB3D38"/>
    <w:rsid w:val="00BB3D3C"/>
    <w:rsid w:val="00BB45A9"/>
    <w:rsid w:val="00BB4A49"/>
    <w:rsid w:val="00BB4F85"/>
    <w:rsid w:val="00BB5024"/>
    <w:rsid w:val="00BB55DF"/>
    <w:rsid w:val="00BB5AD6"/>
    <w:rsid w:val="00BB5FA3"/>
    <w:rsid w:val="00BB69B8"/>
    <w:rsid w:val="00BB6BEE"/>
    <w:rsid w:val="00BB6DC9"/>
    <w:rsid w:val="00BB6EB8"/>
    <w:rsid w:val="00BB76BF"/>
    <w:rsid w:val="00BC02C9"/>
    <w:rsid w:val="00BC0416"/>
    <w:rsid w:val="00BC11F6"/>
    <w:rsid w:val="00BC1E67"/>
    <w:rsid w:val="00BC2554"/>
    <w:rsid w:val="00BC2583"/>
    <w:rsid w:val="00BC2620"/>
    <w:rsid w:val="00BC280E"/>
    <w:rsid w:val="00BC2D54"/>
    <w:rsid w:val="00BC3134"/>
    <w:rsid w:val="00BC376A"/>
    <w:rsid w:val="00BC392D"/>
    <w:rsid w:val="00BC4CB2"/>
    <w:rsid w:val="00BC5FC4"/>
    <w:rsid w:val="00BC6426"/>
    <w:rsid w:val="00BC65A3"/>
    <w:rsid w:val="00BC6902"/>
    <w:rsid w:val="00BC6B51"/>
    <w:rsid w:val="00BC7265"/>
    <w:rsid w:val="00BC7453"/>
    <w:rsid w:val="00BC7C00"/>
    <w:rsid w:val="00BD01E6"/>
    <w:rsid w:val="00BD0223"/>
    <w:rsid w:val="00BD0265"/>
    <w:rsid w:val="00BD0457"/>
    <w:rsid w:val="00BD0864"/>
    <w:rsid w:val="00BD0C34"/>
    <w:rsid w:val="00BD0DFE"/>
    <w:rsid w:val="00BD174A"/>
    <w:rsid w:val="00BD1F2A"/>
    <w:rsid w:val="00BD209D"/>
    <w:rsid w:val="00BD25FB"/>
    <w:rsid w:val="00BD2711"/>
    <w:rsid w:val="00BD369D"/>
    <w:rsid w:val="00BD3834"/>
    <w:rsid w:val="00BD3B54"/>
    <w:rsid w:val="00BD3B97"/>
    <w:rsid w:val="00BD3E27"/>
    <w:rsid w:val="00BD462D"/>
    <w:rsid w:val="00BD4784"/>
    <w:rsid w:val="00BD4895"/>
    <w:rsid w:val="00BD4A93"/>
    <w:rsid w:val="00BD4A9D"/>
    <w:rsid w:val="00BD4E44"/>
    <w:rsid w:val="00BD6A65"/>
    <w:rsid w:val="00BD6C15"/>
    <w:rsid w:val="00BD6F34"/>
    <w:rsid w:val="00BD712F"/>
    <w:rsid w:val="00BD756E"/>
    <w:rsid w:val="00BD76D4"/>
    <w:rsid w:val="00BD775F"/>
    <w:rsid w:val="00BD7A60"/>
    <w:rsid w:val="00BE040E"/>
    <w:rsid w:val="00BE0851"/>
    <w:rsid w:val="00BE16B2"/>
    <w:rsid w:val="00BE1C49"/>
    <w:rsid w:val="00BE1D60"/>
    <w:rsid w:val="00BE1D66"/>
    <w:rsid w:val="00BE1F9B"/>
    <w:rsid w:val="00BE2024"/>
    <w:rsid w:val="00BE2100"/>
    <w:rsid w:val="00BE2721"/>
    <w:rsid w:val="00BE3398"/>
    <w:rsid w:val="00BE3676"/>
    <w:rsid w:val="00BE4005"/>
    <w:rsid w:val="00BE44BE"/>
    <w:rsid w:val="00BE4E66"/>
    <w:rsid w:val="00BE52A7"/>
    <w:rsid w:val="00BE564B"/>
    <w:rsid w:val="00BE58FC"/>
    <w:rsid w:val="00BE5A27"/>
    <w:rsid w:val="00BE5C73"/>
    <w:rsid w:val="00BE6021"/>
    <w:rsid w:val="00BE6677"/>
    <w:rsid w:val="00BE6D00"/>
    <w:rsid w:val="00BE7049"/>
    <w:rsid w:val="00BE708F"/>
    <w:rsid w:val="00BE748D"/>
    <w:rsid w:val="00BE74A3"/>
    <w:rsid w:val="00BE7723"/>
    <w:rsid w:val="00BE7A79"/>
    <w:rsid w:val="00BF10F5"/>
    <w:rsid w:val="00BF1593"/>
    <w:rsid w:val="00BF16D5"/>
    <w:rsid w:val="00BF196E"/>
    <w:rsid w:val="00BF1D82"/>
    <w:rsid w:val="00BF2045"/>
    <w:rsid w:val="00BF3625"/>
    <w:rsid w:val="00BF3781"/>
    <w:rsid w:val="00BF3966"/>
    <w:rsid w:val="00BF3A53"/>
    <w:rsid w:val="00BF3B6B"/>
    <w:rsid w:val="00BF41E2"/>
    <w:rsid w:val="00BF466D"/>
    <w:rsid w:val="00BF51EA"/>
    <w:rsid w:val="00BF5443"/>
    <w:rsid w:val="00BF5729"/>
    <w:rsid w:val="00BF5936"/>
    <w:rsid w:val="00BF62D3"/>
    <w:rsid w:val="00BF662F"/>
    <w:rsid w:val="00BF6977"/>
    <w:rsid w:val="00BF6E7C"/>
    <w:rsid w:val="00BF7316"/>
    <w:rsid w:val="00BF7CC7"/>
    <w:rsid w:val="00BF7DD9"/>
    <w:rsid w:val="00C0025C"/>
    <w:rsid w:val="00C0099A"/>
    <w:rsid w:val="00C00B59"/>
    <w:rsid w:val="00C00BB2"/>
    <w:rsid w:val="00C00CBC"/>
    <w:rsid w:val="00C012E6"/>
    <w:rsid w:val="00C02276"/>
    <w:rsid w:val="00C024A9"/>
    <w:rsid w:val="00C02536"/>
    <w:rsid w:val="00C02C91"/>
    <w:rsid w:val="00C032BF"/>
    <w:rsid w:val="00C03941"/>
    <w:rsid w:val="00C0398A"/>
    <w:rsid w:val="00C03A0A"/>
    <w:rsid w:val="00C03B14"/>
    <w:rsid w:val="00C03C31"/>
    <w:rsid w:val="00C04181"/>
    <w:rsid w:val="00C0419A"/>
    <w:rsid w:val="00C04331"/>
    <w:rsid w:val="00C04363"/>
    <w:rsid w:val="00C04B0A"/>
    <w:rsid w:val="00C04E9D"/>
    <w:rsid w:val="00C05184"/>
    <w:rsid w:val="00C06F91"/>
    <w:rsid w:val="00C07085"/>
    <w:rsid w:val="00C07293"/>
    <w:rsid w:val="00C07ACA"/>
    <w:rsid w:val="00C07C2B"/>
    <w:rsid w:val="00C1022A"/>
    <w:rsid w:val="00C10F9E"/>
    <w:rsid w:val="00C1149B"/>
    <w:rsid w:val="00C12A73"/>
    <w:rsid w:val="00C13515"/>
    <w:rsid w:val="00C13E1A"/>
    <w:rsid w:val="00C14078"/>
    <w:rsid w:val="00C14213"/>
    <w:rsid w:val="00C14CAF"/>
    <w:rsid w:val="00C1518C"/>
    <w:rsid w:val="00C156DF"/>
    <w:rsid w:val="00C157CD"/>
    <w:rsid w:val="00C15913"/>
    <w:rsid w:val="00C15AEF"/>
    <w:rsid w:val="00C16110"/>
    <w:rsid w:val="00C1636B"/>
    <w:rsid w:val="00C1715B"/>
    <w:rsid w:val="00C17244"/>
    <w:rsid w:val="00C173DC"/>
    <w:rsid w:val="00C17491"/>
    <w:rsid w:val="00C17775"/>
    <w:rsid w:val="00C17D8D"/>
    <w:rsid w:val="00C20200"/>
    <w:rsid w:val="00C2042B"/>
    <w:rsid w:val="00C205BF"/>
    <w:rsid w:val="00C20631"/>
    <w:rsid w:val="00C20868"/>
    <w:rsid w:val="00C22592"/>
    <w:rsid w:val="00C2259C"/>
    <w:rsid w:val="00C22672"/>
    <w:rsid w:val="00C227C7"/>
    <w:rsid w:val="00C22C28"/>
    <w:rsid w:val="00C22CC4"/>
    <w:rsid w:val="00C22CC7"/>
    <w:rsid w:val="00C22E7A"/>
    <w:rsid w:val="00C23B2D"/>
    <w:rsid w:val="00C23ED2"/>
    <w:rsid w:val="00C2406A"/>
    <w:rsid w:val="00C2409D"/>
    <w:rsid w:val="00C248F3"/>
    <w:rsid w:val="00C24A17"/>
    <w:rsid w:val="00C24AE4"/>
    <w:rsid w:val="00C24DBE"/>
    <w:rsid w:val="00C25290"/>
    <w:rsid w:val="00C25683"/>
    <w:rsid w:val="00C25FA5"/>
    <w:rsid w:val="00C26351"/>
    <w:rsid w:val="00C26FED"/>
    <w:rsid w:val="00C27662"/>
    <w:rsid w:val="00C27DB0"/>
    <w:rsid w:val="00C27DEF"/>
    <w:rsid w:val="00C27E86"/>
    <w:rsid w:val="00C304B9"/>
    <w:rsid w:val="00C30D70"/>
    <w:rsid w:val="00C30F29"/>
    <w:rsid w:val="00C311D2"/>
    <w:rsid w:val="00C3169F"/>
    <w:rsid w:val="00C31729"/>
    <w:rsid w:val="00C31A7B"/>
    <w:rsid w:val="00C31DA6"/>
    <w:rsid w:val="00C320D1"/>
    <w:rsid w:val="00C32154"/>
    <w:rsid w:val="00C331F6"/>
    <w:rsid w:val="00C3320C"/>
    <w:rsid w:val="00C33489"/>
    <w:rsid w:val="00C33A80"/>
    <w:rsid w:val="00C346C5"/>
    <w:rsid w:val="00C34BD6"/>
    <w:rsid w:val="00C34BF2"/>
    <w:rsid w:val="00C34E44"/>
    <w:rsid w:val="00C35849"/>
    <w:rsid w:val="00C35BF5"/>
    <w:rsid w:val="00C35C17"/>
    <w:rsid w:val="00C35D84"/>
    <w:rsid w:val="00C36431"/>
    <w:rsid w:val="00C3669A"/>
    <w:rsid w:val="00C36700"/>
    <w:rsid w:val="00C36718"/>
    <w:rsid w:val="00C3675D"/>
    <w:rsid w:val="00C36DB2"/>
    <w:rsid w:val="00C370BE"/>
    <w:rsid w:val="00C370E6"/>
    <w:rsid w:val="00C37249"/>
    <w:rsid w:val="00C3726E"/>
    <w:rsid w:val="00C373E3"/>
    <w:rsid w:val="00C3755D"/>
    <w:rsid w:val="00C37918"/>
    <w:rsid w:val="00C3796D"/>
    <w:rsid w:val="00C4018A"/>
    <w:rsid w:val="00C40557"/>
    <w:rsid w:val="00C41216"/>
    <w:rsid w:val="00C41F11"/>
    <w:rsid w:val="00C420F6"/>
    <w:rsid w:val="00C422BA"/>
    <w:rsid w:val="00C423D5"/>
    <w:rsid w:val="00C4277C"/>
    <w:rsid w:val="00C42992"/>
    <w:rsid w:val="00C42B66"/>
    <w:rsid w:val="00C430C7"/>
    <w:rsid w:val="00C431F9"/>
    <w:rsid w:val="00C4338C"/>
    <w:rsid w:val="00C4366D"/>
    <w:rsid w:val="00C437B7"/>
    <w:rsid w:val="00C4395A"/>
    <w:rsid w:val="00C43C1A"/>
    <w:rsid w:val="00C43EE2"/>
    <w:rsid w:val="00C441F1"/>
    <w:rsid w:val="00C445D2"/>
    <w:rsid w:val="00C44DA0"/>
    <w:rsid w:val="00C44DA1"/>
    <w:rsid w:val="00C44EEA"/>
    <w:rsid w:val="00C454D3"/>
    <w:rsid w:val="00C45602"/>
    <w:rsid w:val="00C45F7B"/>
    <w:rsid w:val="00C45F9A"/>
    <w:rsid w:val="00C47283"/>
    <w:rsid w:val="00C4733D"/>
    <w:rsid w:val="00C474EF"/>
    <w:rsid w:val="00C47586"/>
    <w:rsid w:val="00C47D8D"/>
    <w:rsid w:val="00C50227"/>
    <w:rsid w:val="00C50296"/>
    <w:rsid w:val="00C50631"/>
    <w:rsid w:val="00C5090E"/>
    <w:rsid w:val="00C50B51"/>
    <w:rsid w:val="00C50B99"/>
    <w:rsid w:val="00C50DB6"/>
    <w:rsid w:val="00C514DD"/>
    <w:rsid w:val="00C5196B"/>
    <w:rsid w:val="00C522AE"/>
    <w:rsid w:val="00C52625"/>
    <w:rsid w:val="00C52B8B"/>
    <w:rsid w:val="00C52C8E"/>
    <w:rsid w:val="00C52EE1"/>
    <w:rsid w:val="00C536AD"/>
    <w:rsid w:val="00C53A72"/>
    <w:rsid w:val="00C53B42"/>
    <w:rsid w:val="00C53FE2"/>
    <w:rsid w:val="00C54248"/>
    <w:rsid w:val="00C5430D"/>
    <w:rsid w:val="00C54440"/>
    <w:rsid w:val="00C544EB"/>
    <w:rsid w:val="00C54510"/>
    <w:rsid w:val="00C54573"/>
    <w:rsid w:val="00C54A11"/>
    <w:rsid w:val="00C54BB2"/>
    <w:rsid w:val="00C54FCA"/>
    <w:rsid w:val="00C55A10"/>
    <w:rsid w:val="00C562E5"/>
    <w:rsid w:val="00C5641A"/>
    <w:rsid w:val="00C56BDE"/>
    <w:rsid w:val="00C56F44"/>
    <w:rsid w:val="00C56F84"/>
    <w:rsid w:val="00C57040"/>
    <w:rsid w:val="00C5705A"/>
    <w:rsid w:val="00C570F8"/>
    <w:rsid w:val="00C571FE"/>
    <w:rsid w:val="00C5757B"/>
    <w:rsid w:val="00C60682"/>
    <w:rsid w:val="00C60B25"/>
    <w:rsid w:val="00C61620"/>
    <w:rsid w:val="00C6163A"/>
    <w:rsid w:val="00C61C61"/>
    <w:rsid w:val="00C61CDC"/>
    <w:rsid w:val="00C6269A"/>
    <w:rsid w:val="00C62849"/>
    <w:rsid w:val="00C62B54"/>
    <w:rsid w:val="00C63188"/>
    <w:rsid w:val="00C634DB"/>
    <w:rsid w:val="00C637A9"/>
    <w:rsid w:val="00C63BFF"/>
    <w:rsid w:val="00C63E05"/>
    <w:rsid w:val="00C64362"/>
    <w:rsid w:val="00C64633"/>
    <w:rsid w:val="00C646EF"/>
    <w:rsid w:val="00C647A9"/>
    <w:rsid w:val="00C652D4"/>
    <w:rsid w:val="00C65416"/>
    <w:rsid w:val="00C65450"/>
    <w:rsid w:val="00C65952"/>
    <w:rsid w:val="00C659A2"/>
    <w:rsid w:val="00C65FAA"/>
    <w:rsid w:val="00C660F5"/>
    <w:rsid w:val="00C664A3"/>
    <w:rsid w:val="00C66B1D"/>
    <w:rsid w:val="00C66F48"/>
    <w:rsid w:val="00C66F7C"/>
    <w:rsid w:val="00C67DE6"/>
    <w:rsid w:val="00C70400"/>
    <w:rsid w:val="00C707C2"/>
    <w:rsid w:val="00C70992"/>
    <w:rsid w:val="00C70A90"/>
    <w:rsid w:val="00C70DD2"/>
    <w:rsid w:val="00C70E7B"/>
    <w:rsid w:val="00C70FB7"/>
    <w:rsid w:val="00C712FD"/>
    <w:rsid w:val="00C7158C"/>
    <w:rsid w:val="00C71A83"/>
    <w:rsid w:val="00C71C93"/>
    <w:rsid w:val="00C71ECC"/>
    <w:rsid w:val="00C7257C"/>
    <w:rsid w:val="00C72624"/>
    <w:rsid w:val="00C727A8"/>
    <w:rsid w:val="00C72B02"/>
    <w:rsid w:val="00C72F1B"/>
    <w:rsid w:val="00C73372"/>
    <w:rsid w:val="00C73541"/>
    <w:rsid w:val="00C73808"/>
    <w:rsid w:val="00C7384F"/>
    <w:rsid w:val="00C73984"/>
    <w:rsid w:val="00C74044"/>
    <w:rsid w:val="00C74314"/>
    <w:rsid w:val="00C747F6"/>
    <w:rsid w:val="00C74DAC"/>
    <w:rsid w:val="00C75F99"/>
    <w:rsid w:val="00C76712"/>
    <w:rsid w:val="00C76DEC"/>
    <w:rsid w:val="00C76F0B"/>
    <w:rsid w:val="00C772BA"/>
    <w:rsid w:val="00C77324"/>
    <w:rsid w:val="00C77A13"/>
    <w:rsid w:val="00C80BC1"/>
    <w:rsid w:val="00C80C93"/>
    <w:rsid w:val="00C80F1A"/>
    <w:rsid w:val="00C813BD"/>
    <w:rsid w:val="00C818E7"/>
    <w:rsid w:val="00C81F7E"/>
    <w:rsid w:val="00C823FA"/>
    <w:rsid w:val="00C828FC"/>
    <w:rsid w:val="00C82AA2"/>
    <w:rsid w:val="00C82AD3"/>
    <w:rsid w:val="00C82FEC"/>
    <w:rsid w:val="00C83494"/>
    <w:rsid w:val="00C83498"/>
    <w:rsid w:val="00C846DA"/>
    <w:rsid w:val="00C84919"/>
    <w:rsid w:val="00C853E8"/>
    <w:rsid w:val="00C85452"/>
    <w:rsid w:val="00C860D0"/>
    <w:rsid w:val="00C8701E"/>
    <w:rsid w:val="00C873BC"/>
    <w:rsid w:val="00C87725"/>
    <w:rsid w:val="00C87E68"/>
    <w:rsid w:val="00C87F8A"/>
    <w:rsid w:val="00C9046A"/>
    <w:rsid w:val="00C9048F"/>
    <w:rsid w:val="00C90693"/>
    <w:rsid w:val="00C909DB"/>
    <w:rsid w:val="00C90F2E"/>
    <w:rsid w:val="00C910DB"/>
    <w:rsid w:val="00C91166"/>
    <w:rsid w:val="00C913C1"/>
    <w:rsid w:val="00C917EE"/>
    <w:rsid w:val="00C9192D"/>
    <w:rsid w:val="00C91A45"/>
    <w:rsid w:val="00C92174"/>
    <w:rsid w:val="00C93859"/>
    <w:rsid w:val="00C93B71"/>
    <w:rsid w:val="00C942FA"/>
    <w:rsid w:val="00C94BBF"/>
    <w:rsid w:val="00C94EC9"/>
    <w:rsid w:val="00C956DB"/>
    <w:rsid w:val="00C95C27"/>
    <w:rsid w:val="00C95DF8"/>
    <w:rsid w:val="00C95E32"/>
    <w:rsid w:val="00C9617A"/>
    <w:rsid w:val="00C96244"/>
    <w:rsid w:val="00C9678B"/>
    <w:rsid w:val="00C9680B"/>
    <w:rsid w:val="00C96981"/>
    <w:rsid w:val="00C96FF7"/>
    <w:rsid w:val="00C977E8"/>
    <w:rsid w:val="00C97F61"/>
    <w:rsid w:val="00CA0B2C"/>
    <w:rsid w:val="00CA0F20"/>
    <w:rsid w:val="00CA179F"/>
    <w:rsid w:val="00CA17BD"/>
    <w:rsid w:val="00CA1A2A"/>
    <w:rsid w:val="00CA1D02"/>
    <w:rsid w:val="00CA1DC5"/>
    <w:rsid w:val="00CA22C4"/>
    <w:rsid w:val="00CA2753"/>
    <w:rsid w:val="00CA2BE7"/>
    <w:rsid w:val="00CA2D3F"/>
    <w:rsid w:val="00CA2F18"/>
    <w:rsid w:val="00CA34CE"/>
    <w:rsid w:val="00CA34ED"/>
    <w:rsid w:val="00CA3F79"/>
    <w:rsid w:val="00CA413E"/>
    <w:rsid w:val="00CA4187"/>
    <w:rsid w:val="00CA41AB"/>
    <w:rsid w:val="00CA45AD"/>
    <w:rsid w:val="00CA46B8"/>
    <w:rsid w:val="00CA48B0"/>
    <w:rsid w:val="00CA4B97"/>
    <w:rsid w:val="00CA4D46"/>
    <w:rsid w:val="00CA4EF0"/>
    <w:rsid w:val="00CA56AC"/>
    <w:rsid w:val="00CA5E8D"/>
    <w:rsid w:val="00CA6765"/>
    <w:rsid w:val="00CA680E"/>
    <w:rsid w:val="00CA68C9"/>
    <w:rsid w:val="00CA69AE"/>
    <w:rsid w:val="00CA6B7A"/>
    <w:rsid w:val="00CA71A3"/>
    <w:rsid w:val="00CA75AB"/>
    <w:rsid w:val="00CA78F9"/>
    <w:rsid w:val="00CA7C01"/>
    <w:rsid w:val="00CA7CA8"/>
    <w:rsid w:val="00CA7EB4"/>
    <w:rsid w:val="00CB019A"/>
    <w:rsid w:val="00CB0395"/>
    <w:rsid w:val="00CB0ED7"/>
    <w:rsid w:val="00CB15CA"/>
    <w:rsid w:val="00CB19A5"/>
    <w:rsid w:val="00CB1C7E"/>
    <w:rsid w:val="00CB2E15"/>
    <w:rsid w:val="00CB2E79"/>
    <w:rsid w:val="00CB2FA2"/>
    <w:rsid w:val="00CB3013"/>
    <w:rsid w:val="00CB312F"/>
    <w:rsid w:val="00CB39AF"/>
    <w:rsid w:val="00CB3AA1"/>
    <w:rsid w:val="00CB3CB9"/>
    <w:rsid w:val="00CB4730"/>
    <w:rsid w:val="00CB49E4"/>
    <w:rsid w:val="00CB4A79"/>
    <w:rsid w:val="00CB54D4"/>
    <w:rsid w:val="00CB57A1"/>
    <w:rsid w:val="00CB57D8"/>
    <w:rsid w:val="00CB59ED"/>
    <w:rsid w:val="00CB5A40"/>
    <w:rsid w:val="00CB5EAF"/>
    <w:rsid w:val="00CB5FC6"/>
    <w:rsid w:val="00CB6ED8"/>
    <w:rsid w:val="00CB7771"/>
    <w:rsid w:val="00CB7A7A"/>
    <w:rsid w:val="00CB7FEE"/>
    <w:rsid w:val="00CC0687"/>
    <w:rsid w:val="00CC0B06"/>
    <w:rsid w:val="00CC181C"/>
    <w:rsid w:val="00CC1AAA"/>
    <w:rsid w:val="00CC1E51"/>
    <w:rsid w:val="00CC1F5F"/>
    <w:rsid w:val="00CC20C0"/>
    <w:rsid w:val="00CC2882"/>
    <w:rsid w:val="00CC2F61"/>
    <w:rsid w:val="00CC3186"/>
    <w:rsid w:val="00CC341C"/>
    <w:rsid w:val="00CC4022"/>
    <w:rsid w:val="00CC404A"/>
    <w:rsid w:val="00CC4216"/>
    <w:rsid w:val="00CC449A"/>
    <w:rsid w:val="00CC4BE9"/>
    <w:rsid w:val="00CC4D42"/>
    <w:rsid w:val="00CC51BE"/>
    <w:rsid w:val="00CC52AC"/>
    <w:rsid w:val="00CC564F"/>
    <w:rsid w:val="00CC5B57"/>
    <w:rsid w:val="00CC5BFC"/>
    <w:rsid w:val="00CC5F6E"/>
    <w:rsid w:val="00CC7420"/>
    <w:rsid w:val="00CC75BE"/>
    <w:rsid w:val="00CC75D4"/>
    <w:rsid w:val="00CC79D5"/>
    <w:rsid w:val="00CC7D7B"/>
    <w:rsid w:val="00CC7D8F"/>
    <w:rsid w:val="00CD031C"/>
    <w:rsid w:val="00CD03D6"/>
    <w:rsid w:val="00CD070B"/>
    <w:rsid w:val="00CD157C"/>
    <w:rsid w:val="00CD1BF5"/>
    <w:rsid w:val="00CD1C94"/>
    <w:rsid w:val="00CD22D3"/>
    <w:rsid w:val="00CD2A1F"/>
    <w:rsid w:val="00CD2F95"/>
    <w:rsid w:val="00CD3064"/>
    <w:rsid w:val="00CD3441"/>
    <w:rsid w:val="00CD35CC"/>
    <w:rsid w:val="00CD390B"/>
    <w:rsid w:val="00CD394B"/>
    <w:rsid w:val="00CD4152"/>
    <w:rsid w:val="00CD43A3"/>
    <w:rsid w:val="00CD4483"/>
    <w:rsid w:val="00CD46ED"/>
    <w:rsid w:val="00CD477E"/>
    <w:rsid w:val="00CD4B7F"/>
    <w:rsid w:val="00CD4C41"/>
    <w:rsid w:val="00CD5348"/>
    <w:rsid w:val="00CD5355"/>
    <w:rsid w:val="00CD5803"/>
    <w:rsid w:val="00CD5CE1"/>
    <w:rsid w:val="00CD5D72"/>
    <w:rsid w:val="00CD60FA"/>
    <w:rsid w:val="00CD61A5"/>
    <w:rsid w:val="00CD628F"/>
    <w:rsid w:val="00CD62FE"/>
    <w:rsid w:val="00CD766B"/>
    <w:rsid w:val="00CD7D58"/>
    <w:rsid w:val="00CD7EB6"/>
    <w:rsid w:val="00CD7FBB"/>
    <w:rsid w:val="00CE0350"/>
    <w:rsid w:val="00CE04DE"/>
    <w:rsid w:val="00CE09A2"/>
    <w:rsid w:val="00CE0E84"/>
    <w:rsid w:val="00CE10B1"/>
    <w:rsid w:val="00CE14D6"/>
    <w:rsid w:val="00CE153D"/>
    <w:rsid w:val="00CE1D7B"/>
    <w:rsid w:val="00CE2118"/>
    <w:rsid w:val="00CE243F"/>
    <w:rsid w:val="00CE2551"/>
    <w:rsid w:val="00CE25FD"/>
    <w:rsid w:val="00CE3175"/>
    <w:rsid w:val="00CE3293"/>
    <w:rsid w:val="00CE3C6D"/>
    <w:rsid w:val="00CE3C82"/>
    <w:rsid w:val="00CE43B1"/>
    <w:rsid w:val="00CE45DB"/>
    <w:rsid w:val="00CE4964"/>
    <w:rsid w:val="00CE4BCF"/>
    <w:rsid w:val="00CE4ED1"/>
    <w:rsid w:val="00CE537D"/>
    <w:rsid w:val="00CE5414"/>
    <w:rsid w:val="00CE55AA"/>
    <w:rsid w:val="00CE5E44"/>
    <w:rsid w:val="00CE6540"/>
    <w:rsid w:val="00CE6D9E"/>
    <w:rsid w:val="00CE6DB4"/>
    <w:rsid w:val="00CE70AB"/>
    <w:rsid w:val="00CE7426"/>
    <w:rsid w:val="00CE794B"/>
    <w:rsid w:val="00CE7C39"/>
    <w:rsid w:val="00CF05EA"/>
    <w:rsid w:val="00CF088B"/>
    <w:rsid w:val="00CF08DE"/>
    <w:rsid w:val="00CF0FB9"/>
    <w:rsid w:val="00CF21A8"/>
    <w:rsid w:val="00CF248F"/>
    <w:rsid w:val="00CF2AB7"/>
    <w:rsid w:val="00CF3394"/>
    <w:rsid w:val="00CF3522"/>
    <w:rsid w:val="00CF370F"/>
    <w:rsid w:val="00CF3F37"/>
    <w:rsid w:val="00CF4A46"/>
    <w:rsid w:val="00CF4BD8"/>
    <w:rsid w:val="00CF4C97"/>
    <w:rsid w:val="00CF581A"/>
    <w:rsid w:val="00CF6248"/>
    <w:rsid w:val="00CF63D1"/>
    <w:rsid w:val="00CF74C0"/>
    <w:rsid w:val="00CF7897"/>
    <w:rsid w:val="00CF7997"/>
    <w:rsid w:val="00CF7BFA"/>
    <w:rsid w:val="00D009E0"/>
    <w:rsid w:val="00D00DD6"/>
    <w:rsid w:val="00D01230"/>
    <w:rsid w:val="00D013D9"/>
    <w:rsid w:val="00D017A2"/>
    <w:rsid w:val="00D019BF"/>
    <w:rsid w:val="00D01CAD"/>
    <w:rsid w:val="00D01E38"/>
    <w:rsid w:val="00D022BA"/>
    <w:rsid w:val="00D026AB"/>
    <w:rsid w:val="00D0283B"/>
    <w:rsid w:val="00D02ABB"/>
    <w:rsid w:val="00D03A98"/>
    <w:rsid w:val="00D03BB9"/>
    <w:rsid w:val="00D03D4D"/>
    <w:rsid w:val="00D03E69"/>
    <w:rsid w:val="00D03F6C"/>
    <w:rsid w:val="00D0415C"/>
    <w:rsid w:val="00D04983"/>
    <w:rsid w:val="00D04CDF"/>
    <w:rsid w:val="00D05778"/>
    <w:rsid w:val="00D06937"/>
    <w:rsid w:val="00D06F86"/>
    <w:rsid w:val="00D070FF"/>
    <w:rsid w:val="00D075A4"/>
    <w:rsid w:val="00D07D94"/>
    <w:rsid w:val="00D10407"/>
    <w:rsid w:val="00D1058E"/>
    <w:rsid w:val="00D10AE5"/>
    <w:rsid w:val="00D11433"/>
    <w:rsid w:val="00D11542"/>
    <w:rsid w:val="00D11573"/>
    <w:rsid w:val="00D11EC5"/>
    <w:rsid w:val="00D12059"/>
    <w:rsid w:val="00D122E6"/>
    <w:rsid w:val="00D1239D"/>
    <w:rsid w:val="00D125DE"/>
    <w:rsid w:val="00D12DF5"/>
    <w:rsid w:val="00D13777"/>
    <w:rsid w:val="00D13BB6"/>
    <w:rsid w:val="00D13C2D"/>
    <w:rsid w:val="00D140A1"/>
    <w:rsid w:val="00D1459C"/>
    <w:rsid w:val="00D14E96"/>
    <w:rsid w:val="00D151F0"/>
    <w:rsid w:val="00D156B6"/>
    <w:rsid w:val="00D15F8E"/>
    <w:rsid w:val="00D1690E"/>
    <w:rsid w:val="00D172D8"/>
    <w:rsid w:val="00D173A5"/>
    <w:rsid w:val="00D173FA"/>
    <w:rsid w:val="00D178E9"/>
    <w:rsid w:val="00D17AB7"/>
    <w:rsid w:val="00D17B3F"/>
    <w:rsid w:val="00D17E74"/>
    <w:rsid w:val="00D17F1D"/>
    <w:rsid w:val="00D219D5"/>
    <w:rsid w:val="00D2203E"/>
    <w:rsid w:val="00D2231C"/>
    <w:rsid w:val="00D2254A"/>
    <w:rsid w:val="00D22704"/>
    <w:rsid w:val="00D230FC"/>
    <w:rsid w:val="00D23513"/>
    <w:rsid w:val="00D237C9"/>
    <w:rsid w:val="00D23C31"/>
    <w:rsid w:val="00D242CF"/>
    <w:rsid w:val="00D24573"/>
    <w:rsid w:val="00D245E2"/>
    <w:rsid w:val="00D24A53"/>
    <w:rsid w:val="00D24C69"/>
    <w:rsid w:val="00D25047"/>
    <w:rsid w:val="00D251CF"/>
    <w:rsid w:val="00D252B8"/>
    <w:rsid w:val="00D26621"/>
    <w:rsid w:val="00D267D6"/>
    <w:rsid w:val="00D26BEC"/>
    <w:rsid w:val="00D2729A"/>
    <w:rsid w:val="00D27506"/>
    <w:rsid w:val="00D27E6C"/>
    <w:rsid w:val="00D306E6"/>
    <w:rsid w:val="00D30F5A"/>
    <w:rsid w:val="00D3198D"/>
    <w:rsid w:val="00D31FC6"/>
    <w:rsid w:val="00D323B7"/>
    <w:rsid w:val="00D32EAB"/>
    <w:rsid w:val="00D3357B"/>
    <w:rsid w:val="00D34338"/>
    <w:rsid w:val="00D34688"/>
    <w:rsid w:val="00D35601"/>
    <w:rsid w:val="00D35F3B"/>
    <w:rsid w:val="00D36027"/>
    <w:rsid w:val="00D36337"/>
    <w:rsid w:val="00D363AA"/>
    <w:rsid w:val="00D36522"/>
    <w:rsid w:val="00D366B7"/>
    <w:rsid w:val="00D367F5"/>
    <w:rsid w:val="00D36C23"/>
    <w:rsid w:val="00D36FB2"/>
    <w:rsid w:val="00D37072"/>
    <w:rsid w:val="00D375C7"/>
    <w:rsid w:val="00D3769E"/>
    <w:rsid w:val="00D40081"/>
    <w:rsid w:val="00D407D8"/>
    <w:rsid w:val="00D40E3B"/>
    <w:rsid w:val="00D40EAF"/>
    <w:rsid w:val="00D41034"/>
    <w:rsid w:val="00D411A8"/>
    <w:rsid w:val="00D413DA"/>
    <w:rsid w:val="00D418A3"/>
    <w:rsid w:val="00D41B99"/>
    <w:rsid w:val="00D42249"/>
    <w:rsid w:val="00D4244A"/>
    <w:rsid w:val="00D42487"/>
    <w:rsid w:val="00D430C6"/>
    <w:rsid w:val="00D4341B"/>
    <w:rsid w:val="00D43539"/>
    <w:rsid w:val="00D43FBC"/>
    <w:rsid w:val="00D4432C"/>
    <w:rsid w:val="00D44522"/>
    <w:rsid w:val="00D44CC7"/>
    <w:rsid w:val="00D45865"/>
    <w:rsid w:val="00D45867"/>
    <w:rsid w:val="00D458A5"/>
    <w:rsid w:val="00D4595F"/>
    <w:rsid w:val="00D45CE3"/>
    <w:rsid w:val="00D46157"/>
    <w:rsid w:val="00D4646A"/>
    <w:rsid w:val="00D466A8"/>
    <w:rsid w:val="00D46A18"/>
    <w:rsid w:val="00D46BEF"/>
    <w:rsid w:val="00D47187"/>
    <w:rsid w:val="00D4751A"/>
    <w:rsid w:val="00D477E0"/>
    <w:rsid w:val="00D47805"/>
    <w:rsid w:val="00D47A56"/>
    <w:rsid w:val="00D47DDB"/>
    <w:rsid w:val="00D47FF2"/>
    <w:rsid w:val="00D50011"/>
    <w:rsid w:val="00D500F2"/>
    <w:rsid w:val="00D5017E"/>
    <w:rsid w:val="00D501F5"/>
    <w:rsid w:val="00D50728"/>
    <w:rsid w:val="00D508E4"/>
    <w:rsid w:val="00D50B2C"/>
    <w:rsid w:val="00D50EB3"/>
    <w:rsid w:val="00D519D2"/>
    <w:rsid w:val="00D52284"/>
    <w:rsid w:val="00D528B5"/>
    <w:rsid w:val="00D52C6F"/>
    <w:rsid w:val="00D5322C"/>
    <w:rsid w:val="00D533A1"/>
    <w:rsid w:val="00D533BF"/>
    <w:rsid w:val="00D53841"/>
    <w:rsid w:val="00D53C05"/>
    <w:rsid w:val="00D544C2"/>
    <w:rsid w:val="00D546B8"/>
    <w:rsid w:val="00D55294"/>
    <w:rsid w:val="00D567E0"/>
    <w:rsid w:val="00D56ACF"/>
    <w:rsid w:val="00D56BDE"/>
    <w:rsid w:val="00D57152"/>
    <w:rsid w:val="00D571A7"/>
    <w:rsid w:val="00D57692"/>
    <w:rsid w:val="00D576D7"/>
    <w:rsid w:val="00D57AF1"/>
    <w:rsid w:val="00D57CBB"/>
    <w:rsid w:val="00D60236"/>
    <w:rsid w:val="00D6063B"/>
    <w:rsid w:val="00D60B43"/>
    <w:rsid w:val="00D60C45"/>
    <w:rsid w:val="00D613F0"/>
    <w:rsid w:val="00D614C7"/>
    <w:rsid w:val="00D61A0C"/>
    <w:rsid w:val="00D61E9C"/>
    <w:rsid w:val="00D61F3D"/>
    <w:rsid w:val="00D61F93"/>
    <w:rsid w:val="00D623A8"/>
    <w:rsid w:val="00D62472"/>
    <w:rsid w:val="00D62545"/>
    <w:rsid w:val="00D62EEF"/>
    <w:rsid w:val="00D6312F"/>
    <w:rsid w:val="00D633BB"/>
    <w:rsid w:val="00D63A3E"/>
    <w:rsid w:val="00D63B7F"/>
    <w:rsid w:val="00D63D36"/>
    <w:rsid w:val="00D63D69"/>
    <w:rsid w:val="00D640F2"/>
    <w:rsid w:val="00D64236"/>
    <w:rsid w:val="00D642AD"/>
    <w:rsid w:val="00D64A40"/>
    <w:rsid w:val="00D64BD4"/>
    <w:rsid w:val="00D64E02"/>
    <w:rsid w:val="00D654E8"/>
    <w:rsid w:val="00D654FB"/>
    <w:rsid w:val="00D65619"/>
    <w:rsid w:val="00D66229"/>
    <w:rsid w:val="00D667D9"/>
    <w:rsid w:val="00D66C42"/>
    <w:rsid w:val="00D6715C"/>
    <w:rsid w:val="00D671FA"/>
    <w:rsid w:val="00D67216"/>
    <w:rsid w:val="00D67780"/>
    <w:rsid w:val="00D701C2"/>
    <w:rsid w:val="00D7055C"/>
    <w:rsid w:val="00D709B0"/>
    <w:rsid w:val="00D71468"/>
    <w:rsid w:val="00D7160C"/>
    <w:rsid w:val="00D71741"/>
    <w:rsid w:val="00D71A0A"/>
    <w:rsid w:val="00D71A70"/>
    <w:rsid w:val="00D71C1F"/>
    <w:rsid w:val="00D71CE6"/>
    <w:rsid w:val="00D71F03"/>
    <w:rsid w:val="00D72304"/>
    <w:rsid w:val="00D7249D"/>
    <w:rsid w:val="00D727B3"/>
    <w:rsid w:val="00D73210"/>
    <w:rsid w:val="00D73AD4"/>
    <w:rsid w:val="00D73C8C"/>
    <w:rsid w:val="00D744AF"/>
    <w:rsid w:val="00D74862"/>
    <w:rsid w:val="00D75172"/>
    <w:rsid w:val="00D7538F"/>
    <w:rsid w:val="00D7555D"/>
    <w:rsid w:val="00D756D2"/>
    <w:rsid w:val="00D75879"/>
    <w:rsid w:val="00D75908"/>
    <w:rsid w:val="00D75CD0"/>
    <w:rsid w:val="00D75ECA"/>
    <w:rsid w:val="00D760B5"/>
    <w:rsid w:val="00D764EB"/>
    <w:rsid w:val="00D766A9"/>
    <w:rsid w:val="00D7731C"/>
    <w:rsid w:val="00D7733A"/>
    <w:rsid w:val="00D775CD"/>
    <w:rsid w:val="00D778F2"/>
    <w:rsid w:val="00D8005C"/>
    <w:rsid w:val="00D80539"/>
    <w:rsid w:val="00D808EE"/>
    <w:rsid w:val="00D80A72"/>
    <w:rsid w:val="00D80AF5"/>
    <w:rsid w:val="00D81003"/>
    <w:rsid w:val="00D81129"/>
    <w:rsid w:val="00D818D0"/>
    <w:rsid w:val="00D81A7D"/>
    <w:rsid w:val="00D8202C"/>
    <w:rsid w:val="00D82223"/>
    <w:rsid w:val="00D822E5"/>
    <w:rsid w:val="00D82F39"/>
    <w:rsid w:val="00D8300D"/>
    <w:rsid w:val="00D8378B"/>
    <w:rsid w:val="00D840BF"/>
    <w:rsid w:val="00D846D9"/>
    <w:rsid w:val="00D8480B"/>
    <w:rsid w:val="00D84B62"/>
    <w:rsid w:val="00D84CF1"/>
    <w:rsid w:val="00D84F1E"/>
    <w:rsid w:val="00D859E0"/>
    <w:rsid w:val="00D85CF7"/>
    <w:rsid w:val="00D863F7"/>
    <w:rsid w:val="00D87225"/>
    <w:rsid w:val="00D87307"/>
    <w:rsid w:val="00D87322"/>
    <w:rsid w:val="00D8792C"/>
    <w:rsid w:val="00D87974"/>
    <w:rsid w:val="00D87B4D"/>
    <w:rsid w:val="00D87C8F"/>
    <w:rsid w:val="00D87F7F"/>
    <w:rsid w:val="00D90235"/>
    <w:rsid w:val="00D90662"/>
    <w:rsid w:val="00D90712"/>
    <w:rsid w:val="00D9076C"/>
    <w:rsid w:val="00D90F3C"/>
    <w:rsid w:val="00D91043"/>
    <w:rsid w:val="00D911ED"/>
    <w:rsid w:val="00D91651"/>
    <w:rsid w:val="00D91686"/>
    <w:rsid w:val="00D9181C"/>
    <w:rsid w:val="00D91841"/>
    <w:rsid w:val="00D918BC"/>
    <w:rsid w:val="00D9191D"/>
    <w:rsid w:val="00D91A49"/>
    <w:rsid w:val="00D91D95"/>
    <w:rsid w:val="00D91E5A"/>
    <w:rsid w:val="00D92400"/>
    <w:rsid w:val="00D92454"/>
    <w:rsid w:val="00D9270B"/>
    <w:rsid w:val="00D927AB"/>
    <w:rsid w:val="00D93CB6"/>
    <w:rsid w:val="00D94506"/>
    <w:rsid w:val="00D947E8"/>
    <w:rsid w:val="00D94C19"/>
    <w:rsid w:val="00D94FA6"/>
    <w:rsid w:val="00D950AF"/>
    <w:rsid w:val="00D95DD1"/>
    <w:rsid w:val="00D96A20"/>
    <w:rsid w:val="00D96D76"/>
    <w:rsid w:val="00D97020"/>
    <w:rsid w:val="00D9744D"/>
    <w:rsid w:val="00DA10C4"/>
    <w:rsid w:val="00DA123A"/>
    <w:rsid w:val="00DA1662"/>
    <w:rsid w:val="00DA2813"/>
    <w:rsid w:val="00DA2C32"/>
    <w:rsid w:val="00DA2DF2"/>
    <w:rsid w:val="00DA31ED"/>
    <w:rsid w:val="00DA36B3"/>
    <w:rsid w:val="00DA467B"/>
    <w:rsid w:val="00DA4DDB"/>
    <w:rsid w:val="00DA53B9"/>
    <w:rsid w:val="00DA64C9"/>
    <w:rsid w:val="00DA66C7"/>
    <w:rsid w:val="00DA6B67"/>
    <w:rsid w:val="00DA7371"/>
    <w:rsid w:val="00DA74CE"/>
    <w:rsid w:val="00DA7705"/>
    <w:rsid w:val="00DA7878"/>
    <w:rsid w:val="00DA7D78"/>
    <w:rsid w:val="00DA7F35"/>
    <w:rsid w:val="00DB005E"/>
    <w:rsid w:val="00DB0592"/>
    <w:rsid w:val="00DB0B44"/>
    <w:rsid w:val="00DB17F3"/>
    <w:rsid w:val="00DB1D21"/>
    <w:rsid w:val="00DB1FA4"/>
    <w:rsid w:val="00DB2A05"/>
    <w:rsid w:val="00DB2C57"/>
    <w:rsid w:val="00DB2DF8"/>
    <w:rsid w:val="00DB3023"/>
    <w:rsid w:val="00DB3562"/>
    <w:rsid w:val="00DB3613"/>
    <w:rsid w:val="00DB3DB1"/>
    <w:rsid w:val="00DB3E6A"/>
    <w:rsid w:val="00DB3FDB"/>
    <w:rsid w:val="00DB4274"/>
    <w:rsid w:val="00DB4D86"/>
    <w:rsid w:val="00DB514B"/>
    <w:rsid w:val="00DB5712"/>
    <w:rsid w:val="00DB5C0E"/>
    <w:rsid w:val="00DB5E0E"/>
    <w:rsid w:val="00DB6379"/>
    <w:rsid w:val="00DB64AA"/>
    <w:rsid w:val="00DB657F"/>
    <w:rsid w:val="00DB65C2"/>
    <w:rsid w:val="00DB66CE"/>
    <w:rsid w:val="00DB6952"/>
    <w:rsid w:val="00DB70EE"/>
    <w:rsid w:val="00DB7503"/>
    <w:rsid w:val="00DB75A4"/>
    <w:rsid w:val="00DB7827"/>
    <w:rsid w:val="00DB7BF9"/>
    <w:rsid w:val="00DC00C7"/>
    <w:rsid w:val="00DC023B"/>
    <w:rsid w:val="00DC0554"/>
    <w:rsid w:val="00DC07EC"/>
    <w:rsid w:val="00DC07F1"/>
    <w:rsid w:val="00DC0AEF"/>
    <w:rsid w:val="00DC128B"/>
    <w:rsid w:val="00DC1828"/>
    <w:rsid w:val="00DC1A6F"/>
    <w:rsid w:val="00DC2DC5"/>
    <w:rsid w:val="00DC2E98"/>
    <w:rsid w:val="00DC30EA"/>
    <w:rsid w:val="00DC33EC"/>
    <w:rsid w:val="00DC3F9B"/>
    <w:rsid w:val="00DC4D22"/>
    <w:rsid w:val="00DC5B2D"/>
    <w:rsid w:val="00DC6491"/>
    <w:rsid w:val="00DC6E16"/>
    <w:rsid w:val="00DC7045"/>
    <w:rsid w:val="00DC70CD"/>
    <w:rsid w:val="00DC7601"/>
    <w:rsid w:val="00DC7E6F"/>
    <w:rsid w:val="00DD00EA"/>
    <w:rsid w:val="00DD1524"/>
    <w:rsid w:val="00DD1635"/>
    <w:rsid w:val="00DD1BD3"/>
    <w:rsid w:val="00DD1EFE"/>
    <w:rsid w:val="00DD20DE"/>
    <w:rsid w:val="00DD2E4E"/>
    <w:rsid w:val="00DD36AA"/>
    <w:rsid w:val="00DD3B6A"/>
    <w:rsid w:val="00DD405B"/>
    <w:rsid w:val="00DD40F9"/>
    <w:rsid w:val="00DD45BB"/>
    <w:rsid w:val="00DD4974"/>
    <w:rsid w:val="00DD4991"/>
    <w:rsid w:val="00DD553E"/>
    <w:rsid w:val="00DD564B"/>
    <w:rsid w:val="00DD638A"/>
    <w:rsid w:val="00DD64A2"/>
    <w:rsid w:val="00DD64CB"/>
    <w:rsid w:val="00DD6531"/>
    <w:rsid w:val="00DD671F"/>
    <w:rsid w:val="00DD6801"/>
    <w:rsid w:val="00DD6925"/>
    <w:rsid w:val="00DD6A21"/>
    <w:rsid w:val="00DD6E0E"/>
    <w:rsid w:val="00DD6F13"/>
    <w:rsid w:val="00DD7BF9"/>
    <w:rsid w:val="00DD7C13"/>
    <w:rsid w:val="00DD7C7A"/>
    <w:rsid w:val="00DE037E"/>
    <w:rsid w:val="00DE0759"/>
    <w:rsid w:val="00DE0DFB"/>
    <w:rsid w:val="00DE1550"/>
    <w:rsid w:val="00DE176E"/>
    <w:rsid w:val="00DE1EC9"/>
    <w:rsid w:val="00DE23F2"/>
    <w:rsid w:val="00DE24B0"/>
    <w:rsid w:val="00DE28B1"/>
    <w:rsid w:val="00DE38AA"/>
    <w:rsid w:val="00DE4CB8"/>
    <w:rsid w:val="00DE5A1E"/>
    <w:rsid w:val="00DE5EEE"/>
    <w:rsid w:val="00DE6721"/>
    <w:rsid w:val="00DE6912"/>
    <w:rsid w:val="00DE6F95"/>
    <w:rsid w:val="00DE7140"/>
    <w:rsid w:val="00DE7355"/>
    <w:rsid w:val="00DE77E7"/>
    <w:rsid w:val="00DE7E8B"/>
    <w:rsid w:val="00DF0365"/>
    <w:rsid w:val="00DF04A6"/>
    <w:rsid w:val="00DF0745"/>
    <w:rsid w:val="00DF0790"/>
    <w:rsid w:val="00DF0DF8"/>
    <w:rsid w:val="00DF1011"/>
    <w:rsid w:val="00DF15B6"/>
    <w:rsid w:val="00DF15EC"/>
    <w:rsid w:val="00DF1806"/>
    <w:rsid w:val="00DF1C2D"/>
    <w:rsid w:val="00DF1F17"/>
    <w:rsid w:val="00DF1F85"/>
    <w:rsid w:val="00DF20CE"/>
    <w:rsid w:val="00DF20EA"/>
    <w:rsid w:val="00DF2425"/>
    <w:rsid w:val="00DF2974"/>
    <w:rsid w:val="00DF297F"/>
    <w:rsid w:val="00DF2B4F"/>
    <w:rsid w:val="00DF3422"/>
    <w:rsid w:val="00DF3E3B"/>
    <w:rsid w:val="00DF45FF"/>
    <w:rsid w:val="00DF4AC7"/>
    <w:rsid w:val="00DF4CEB"/>
    <w:rsid w:val="00DF52F8"/>
    <w:rsid w:val="00DF6191"/>
    <w:rsid w:val="00DF73CF"/>
    <w:rsid w:val="00DF79A3"/>
    <w:rsid w:val="00DF7C8C"/>
    <w:rsid w:val="00E00282"/>
    <w:rsid w:val="00E0043E"/>
    <w:rsid w:val="00E00A75"/>
    <w:rsid w:val="00E00C22"/>
    <w:rsid w:val="00E0156F"/>
    <w:rsid w:val="00E019C8"/>
    <w:rsid w:val="00E01C97"/>
    <w:rsid w:val="00E01CF0"/>
    <w:rsid w:val="00E027C2"/>
    <w:rsid w:val="00E02F4E"/>
    <w:rsid w:val="00E031F0"/>
    <w:rsid w:val="00E0320F"/>
    <w:rsid w:val="00E04064"/>
    <w:rsid w:val="00E045EF"/>
    <w:rsid w:val="00E04E2B"/>
    <w:rsid w:val="00E0514D"/>
    <w:rsid w:val="00E052C4"/>
    <w:rsid w:val="00E05CBA"/>
    <w:rsid w:val="00E06166"/>
    <w:rsid w:val="00E0621A"/>
    <w:rsid w:val="00E06561"/>
    <w:rsid w:val="00E06583"/>
    <w:rsid w:val="00E06C17"/>
    <w:rsid w:val="00E07228"/>
    <w:rsid w:val="00E0766D"/>
    <w:rsid w:val="00E10090"/>
    <w:rsid w:val="00E102DD"/>
    <w:rsid w:val="00E10331"/>
    <w:rsid w:val="00E10935"/>
    <w:rsid w:val="00E10B43"/>
    <w:rsid w:val="00E10C1D"/>
    <w:rsid w:val="00E10D76"/>
    <w:rsid w:val="00E11A6C"/>
    <w:rsid w:val="00E11AE0"/>
    <w:rsid w:val="00E11E8D"/>
    <w:rsid w:val="00E12585"/>
    <w:rsid w:val="00E12613"/>
    <w:rsid w:val="00E126E5"/>
    <w:rsid w:val="00E13C3D"/>
    <w:rsid w:val="00E13CC6"/>
    <w:rsid w:val="00E1421F"/>
    <w:rsid w:val="00E1436D"/>
    <w:rsid w:val="00E14415"/>
    <w:rsid w:val="00E1449F"/>
    <w:rsid w:val="00E14A2C"/>
    <w:rsid w:val="00E14C3C"/>
    <w:rsid w:val="00E15157"/>
    <w:rsid w:val="00E15484"/>
    <w:rsid w:val="00E15680"/>
    <w:rsid w:val="00E15BCB"/>
    <w:rsid w:val="00E1644C"/>
    <w:rsid w:val="00E16730"/>
    <w:rsid w:val="00E16852"/>
    <w:rsid w:val="00E168FA"/>
    <w:rsid w:val="00E16DB7"/>
    <w:rsid w:val="00E177F1"/>
    <w:rsid w:val="00E17D33"/>
    <w:rsid w:val="00E202FC"/>
    <w:rsid w:val="00E203ED"/>
    <w:rsid w:val="00E20CD7"/>
    <w:rsid w:val="00E20D09"/>
    <w:rsid w:val="00E2106E"/>
    <w:rsid w:val="00E21495"/>
    <w:rsid w:val="00E21AD7"/>
    <w:rsid w:val="00E22183"/>
    <w:rsid w:val="00E22D0F"/>
    <w:rsid w:val="00E23557"/>
    <w:rsid w:val="00E23D4C"/>
    <w:rsid w:val="00E23E7D"/>
    <w:rsid w:val="00E24B81"/>
    <w:rsid w:val="00E24C2A"/>
    <w:rsid w:val="00E24F41"/>
    <w:rsid w:val="00E24FFE"/>
    <w:rsid w:val="00E251C3"/>
    <w:rsid w:val="00E252E5"/>
    <w:rsid w:val="00E25EB1"/>
    <w:rsid w:val="00E2604C"/>
    <w:rsid w:val="00E260B0"/>
    <w:rsid w:val="00E26382"/>
    <w:rsid w:val="00E264C0"/>
    <w:rsid w:val="00E264F9"/>
    <w:rsid w:val="00E267AA"/>
    <w:rsid w:val="00E26870"/>
    <w:rsid w:val="00E273E5"/>
    <w:rsid w:val="00E278E8"/>
    <w:rsid w:val="00E27FB8"/>
    <w:rsid w:val="00E30064"/>
    <w:rsid w:val="00E301E4"/>
    <w:rsid w:val="00E3078A"/>
    <w:rsid w:val="00E31099"/>
    <w:rsid w:val="00E31801"/>
    <w:rsid w:val="00E319E0"/>
    <w:rsid w:val="00E32209"/>
    <w:rsid w:val="00E3275C"/>
    <w:rsid w:val="00E327B1"/>
    <w:rsid w:val="00E327B9"/>
    <w:rsid w:val="00E32A5A"/>
    <w:rsid w:val="00E32A5E"/>
    <w:rsid w:val="00E32E66"/>
    <w:rsid w:val="00E3307A"/>
    <w:rsid w:val="00E331E4"/>
    <w:rsid w:val="00E3328F"/>
    <w:rsid w:val="00E336AB"/>
    <w:rsid w:val="00E33C15"/>
    <w:rsid w:val="00E3413D"/>
    <w:rsid w:val="00E34633"/>
    <w:rsid w:val="00E3470A"/>
    <w:rsid w:val="00E34C64"/>
    <w:rsid w:val="00E34CED"/>
    <w:rsid w:val="00E35CBE"/>
    <w:rsid w:val="00E35DC5"/>
    <w:rsid w:val="00E36239"/>
    <w:rsid w:val="00E36C10"/>
    <w:rsid w:val="00E36EB8"/>
    <w:rsid w:val="00E374E2"/>
    <w:rsid w:val="00E37695"/>
    <w:rsid w:val="00E37830"/>
    <w:rsid w:val="00E37F55"/>
    <w:rsid w:val="00E40453"/>
    <w:rsid w:val="00E4059C"/>
    <w:rsid w:val="00E405F0"/>
    <w:rsid w:val="00E40680"/>
    <w:rsid w:val="00E40C1A"/>
    <w:rsid w:val="00E40DE8"/>
    <w:rsid w:val="00E41014"/>
    <w:rsid w:val="00E41601"/>
    <w:rsid w:val="00E421F2"/>
    <w:rsid w:val="00E42555"/>
    <w:rsid w:val="00E428CB"/>
    <w:rsid w:val="00E4423D"/>
    <w:rsid w:val="00E44378"/>
    <w:rsid w:val="00E449C3"/>
    <w:rsid w:val="00E45020"/>
    <w:rsid w:val="00E450D8"/>
    <w:rsid w:val="00E4528A"/>
    <w:rsid w:val="00E45835"/>
    <w:rsid w:val="00E4591D"/>
    <w:rsid w:val="00E45C08"/>
    <w:rsid w:val="00E464DF"/>
    <w:rsid w:val="00E46502"/>
    <w:rsid w:val="00E46F6A"/>
    <w:rsid w:val="00E471E6"/>
    <w:rsid w:val="00E473AE"/>
    <w:rsid w:val="00E476E0"/>
    <w:rsid w:val="00E47DDE"/>
    <w:rsid w:val="00E50124"/>
    <w:rsid w:val="00E5134D"/>
    <w:rsid w:val="00E519D8"/>
    <w:rsid w:val="00E51DD3"/>
    <w:rsid w:val="00E5209E"/>
    <w:rsid w:val="00E5241D"/>
    <w:rsid w:val="00E5271E"/>
    <w:rsid w:val="00E52BC4"/>
    <w:rsid w:val="00E53315"/>
    <w:rsid w:val="00E5334A"/>
    <w:rsid w:val="00E53532"/>
    <w:rsid w:val="00E536C6"/>
    <w:rsid w:val="00E53B8E"/>
    <w:rsid w:val="00E53BBA"/>
    <w:rsid w:val="00E542AA"/>
    <w:rsid w:val="00E543EE"/>
    <w:rsid w:val="00E548D1"/>
    <w:rsid w:val="00E54D9C"/>
    <w:rsid w:val="00E54DFF"/>
    <w:rsid w:val="00E54E59"/>
    <w:rsid w:val="00E54EA3"/>
    <w:rsid w:val="00E55B02"/>
    <w:rsid w:val="00E55EA3"/>
    <w:rsid w:val="00E55FAC"/>
    <w:rsid w:val="00E56130"/>
    <w:rsid w:val="00E563F0"/>
    <w:rsid w:val="00E56574"/>
    <w:rsid w:val="00E565B4"/>
    <w:rsid w:val="00E56D19"/>
    <w:rsid w:val="00E57012"/>
    <w:rsid w:val="00E5737A"/>
    <w:rsid w:val="00E57481"/>
    <w:rsid w:val="00E57704"/>
    <w:rsid w:val="00E5776E"/>
    <w:rsid w:val="00E57954"/>
    <w:rsid w:val="00E57AA2"/>
    <w:rsid w:val="00E57C07"/>
    <w:rsid w:val="00E57D82"/>
    <w:rsid w:val="00E57EE7"/>
    <w:rsid w:val="00E6032B"/>
    <w:rsid w:val="00E604CA"/>
    <w:rsid w:val="00E60D04"/>
    <w:rsid w:val="00E612CC"/>
    <w:rsid w:val="00E617FF"/>
    <w:rsid w:val="00E62268"/>
    <w:rsid w:val="00E6294C"/>
    <w:rsid w:val="00E62B0B"/>
    <w:rsid w:val="00E63504"/>
    <w:rsid w:val="00E635B9"/>
    <w:rsid w:val="00E638BA"/>
    <w:rsid w:val="00E6426E"/>
    <w:rsid w:val="00E64509"/>
    <w:rsid w:val="00E646E7"/>
    <w:rsid w:val="00E649FC"/>
    <w:rsid w:val="00E64AAF"/>
    <w:rsid w:val="00E64B6D"/>
    <w:rsid w:val="00E64EDF"/>
    <w:rsid w:val="00E65903"/>
    <w:rsid w:val="00E65958"/>
    <w:rsid w:val="00E65DDD"/>
    <w:rsid w:val="00E65EFB"/>
    <w:rsid w:val="00E6668F"/>
    <w:rsid w:val="00E666DD"/>
    <w:rsid w:val="00E66856"/>
    <w:rsid w:val="00E66B4A"/>
    <w:rsid w:val="00E670C5"/>
    <w:rsid w:val="00E671F0"/>
    <w:rsid w:val="00E67B43"/>
    <w:rsid w:val="00E70402"/>
    <w:rsid w:val="00E707EA"/>
    <w:rsid w:val="00E7123B"/>
    <w:rsid w:val="00E712EA"/>
    <w:rsid w:val="00E71813"/>
    <w:rsid w:val="00E722A5"/>
    <w:rsid w:val="00E72478"/>
    <w:rsid w:val="00E726BE"/>
    <w:rsid w:val="00E7292C"/>
    <w:rsid w:val="00E72DBA"/>
    <w:rsid w:val="00E73482"/>
    <w:rsid w:val="00E73537"/>
    <w:rsid w:val="00E739A6"/>
    <w:rsid w:val="00E740DA"/>
    <w:rsid w:val="00E7455D"/>
    <w:rsid w:val="00E745C0"/>
    <w:rsid w:val="00E747EA"/>
    <w:rsid w:val="00E747EE"/>
    <w:rsid w:val="00E74802"/>
    <w:rsid w:val="00E74B06"/>
    <w:rsid w:val="00E74D9F"/>
    <w:rsid w:val="00E74FA2"/>
    <w:rsid w:val="00E74FCB"/>
    <w:rsid w:val="00E75AAC"/>
    <w:rsid w:val="00E75D1F"/>
    <w:rsid w:val="00E76345"/>
    <w:rsid w:val="00E76625"/>
    <w:rsid w:val="00E76C41"/>
    <w:rsid w:val="00E76F7A"/>
    <w:rsid w:val="00E775FB"/>
    <w:rsid w:val="00E77687"/>
    <w:rsid w:val="00E776F4"/>
    <w:rsid w:val="00E77DAA"/>
    <w:rsid w:val="00E80094"/>
    <w:rsid w:val="00E804A3"/>
    <w:rsid w:val="00E80681"/>
    <w:rsid w:val="00E8086C"/>
    <w:rsid w:val="00E80B98"/>
    <w:rsid w:val="00E813F4"/>
    <w:rsid w:val="00E819A8"/>
    <w:rsid w:val="00E819BE"/>
    <w:rsid w:val="00E81A7F"/>
    <w:rsid w:val="00E826D1"/>
    <w:rsid w:val="00E82815"/>
    <w:rsid w:val="00E828CB"/>
    <w:rsid w:val="00E83A5E"/>
    <w:rsid w:val="00E83AFD"/>
    <w:rsid w:val="00E844C3"/>
    <w:rsid w:val="00E845F8"/>
    <w:rsid w:val="00E846DB"/>
    <w:rsid w:val="00E85157"/>
    <w:rsid w:val="00E8521F"/>
    <w:rsid w:val="00E863AA"/>
    <w:rsid w:val="00E86555"/>
    <w:rsid w:val="00E86608"/>
    <w:rsid w:val="00E8695C"/>
    <w:rsid w:val="00E86FEA"/>
    <w:rsid w:val="00E87559"/>
    <w:rsid w:val="00E87A01"/>
    <w:rsid w:val="00E87DDD"/>
    <w:rsid w:val="00E9006C"/>
    <w:rsid w:val="00E9023B"/>
    <w:rsid w:val="00E9047A"/>
    <w:rsid w:val="00E90609"/>
    <w:rsid w:val="00E90B5E"/>
    <w:rsid w:val="00E90C89"/>
    <w:rsid w:val="00E913B3"/>
    <w:rsid w:val="00E918B7"/>
    <w:rsid w:val="00E92565"/>
    <w:rsid w:val="00E925EA"/>
    <w:rsid w:val="00E9260C"/>
    <w:rsid w:val="00E9266C"/>
    <w:rsid w:val="00E932D1"/>
    <w:rsid w:val="00E93C7E"/>
    <w:rsid w:val="00E93EB9"/>
    <w:rsid w:val="00E94084"/>
    <w:rsid w:val="00E94113"/>
    <w:rsid w:val="00E94DAA"/>
    <w:rsid w:val="00E9526E"/>
    <w:rsid w:val="00E96468"/>
    <w:rsid w:val="00E96AEB"/>
    <w:rsid w:val="00E96F68"/>
    <w:rsid w:val="00E970D7"/>
    <w:rsid w:val="00E972EE"/>
    <w:rsid w:val="00E97779"/>
    <w:rsid w:val="00E978CC"/>
    <w:rsid w:val="00E97A9E"/>
    <w:rsid w:val="00E97B84"/>
    <w:rsid w:val="00E97F38"/>
    <w:rsid w:val="00EA0289"/>
    <w:rsid w:val="00EA08EC"/>
    <w:rsid w:val="00EA0FCE"/>
    <w:rsid w:val="00EA18A8"/>
    <w:rsid w:val="00EA1FE5"/>
    <w:rsid w:val="00EA2142"/>
    <w:rsid w:val="00EA2ADD"/>
    <w:rsid w:val="00EA2D29"/>
    <w:rsid w:val="00EA3749"/>
    <w:rsid w:val="00EA3AB1"/>
    <w:rsid w:val="00EA3CF5"/>
    <w:rsid w:val="00EA3D21"/>
    <w:rsid w:val="00EA48C9"/>
    <w:rsid w:val="00EA4BB6"/>
    <w:rsid w:val="00EA538B"/>
    <w:rsid w:val="00EA59B0"/>
    <w:rsid w:val="00EA6094"/>
    <w:rsid w:val="00EA6224"/>
    <w:rsid w:val="00EA69A5"/>
    <w:rsid w:val="00EA6D93"/>
    <w:rsid w:val="00EA70F7"/>
    <w:rsid w:val="00EA7446"/>
    <w:rsid w:val="00EB004D"/>
    <w:rsid w:val="00EB0146"/>
    <w:rsid w:val="00EB02C1"/>
    <w:rsid w:val="00EB0322"/>
    <w:rsid w:val="00EB05F5"/>
    <w:rsid w:val="00EB0ACA"/>
    <w:rsid w:val="00EB126D"/>
    <w:rsid w:val="00EB153B"/>
    <w:rsid w:val="00EB159C"/>
    <w:rsid w:val="00EB17F3"/>
    <w:rsid w:val="00EB1BE8"/>
    <w:rsid w:val="00EB292B"/>
    <w:rsid w:val="00EB2D5C"/>
    <w:rsid w:val="00EB3802"/>
    <w:rsid w:val="00EB3EAF"/>
    <w:rsid w:val="00EB46FA"/>
    <w:rsid w:val="00EB48F6"/>
    <w:rsid w:val="00EB4BEB"/>
    <w:rsid w:val="00EB4D75"/>
    <w:rsid w:val="00EB5287"/>
    <w:rsid w:val="00EB5B30"/>
    <w:rsid w:val="00EB6405"/>
    <w:rsid w:val="00EB6587"/>
    <w:rsid w:val="00EB66AC"/>
    <w:rsid w:val="00EB69B4"/>
    <w:rsid w:val="00EB6A0D"/>
    <w:rsid w:val="00EB7059"/>
    <w:rsid w:val="00EB75D2"/>
    <w:rsid w:val="00EB7932"/>
    <w:rsid w:val="00EB7E38"/>
    <w:rsid w:val="00EC0214"/>
    <w:rsid w:val="00EC05BA"/>
    <w:rsid w:val="00EC0B35"/>
    <w:rsid w:val="00EC0BAA"/>
    <w:rsid w:val="00EC0D64"/>
    <w:rsid w:val="00EC104C"/>
    <w:rsid w:val="00EC178C"/>
    <w:rsid w:val="00EC17E3"/>
    <w:rsid w:val="00EC1A16"/>
    <w:rsid w:val="00EC1D75"/>
    <w:rsid w:val="00EC20DA"/>
    <w:rsid w:val="00EC2127"/>
    <w:rsid w:val="00EC238B"/>
    <w:rsid w:val="00EC3117"/>
    <w:rsid w:val="00EC3329"/>
    <w:rsid w:val="00EC3C44"/>
    <w:rsid w:val="00EC478C"/>
    <w:rsid w:val="00EC4BC9"/>
    <w:rsid w:val="00EC517B"/>
    <w:rsid w:val="00EC5B0D"/>
    <w:rsid w:val="00EC5BB4"/>
    <w:rsid w:val="00EC6364"/>
    <w:rsid w:val="00EC7114"/>
    <w:rsid w:val="00EC7D15"/>
    <w:rsid w:val="00EC7DAA"/>
    <w:rsid w:val="00EC7DB0"/>
    <w:rsid w:val="00EC7EDB"/>
    <w:rsid w:val="00ED024A"/>
    <w:rsid w:val="00ED12B0"/>
    <w:rsid w:val="00ED1D36"/>
    <w:rsid w:val="00ED1F83"/>
    <w:rsid w:val="00ED213F"/>
    <w:rsid w:val="00ED2540"/>
    <w:rsid w:val="00ED2B9A"/>
    <w:rsid w:val="00ED2DB8"/>
    <w:rsid w:val="00ED379B"/>
    <w:rsid w:val="00ED3A92"/>
    <w:rsid w:val="00ED4060"/>
    <w:rsid w:val="00ED45E3"/>
    <w:rsid w:val="00ED4783"/>
    <w:rsid w:val="00ED49B3"/>
    <w:rsid w:val="00ED51DE"/>
    <w:rsid w:val="00ED52CD"/>
    <w:rsid w:val="00ED539C"/>
    <w:rsid w:val="00ED53CB"/>
    <w:rsid w:val="00ED5447"/>
    <w:rsid w:val="00ED54B4"/>
    <w:rsid w:val="00ED5993"/>
    <w:rsid w:val="00ED5A24"/>
    <w:rsid w:val="00ED6222"/>
    <w:rsid w:val="00ED689C"/>
    <w:rsid w:val="00ED6D5F"/>
    <w:rsid w:val="00ED6F3C"/>
    <w:rsid w:val="00ED74B3"/>
    <w:rsid w:val="00ED74C3"/>
    <w:rsid w:val="00ED79B4"/>
    <w:rsid w:val="00ED7E44"/>
    <w:rsid w:val="00EE0456"/>
    <w:rsid w:val="00EE081A"/>
    <w:rsid w:val="00EE08CA"/>
    <w:rsid w:val="00EE0A57"/>
    <w:rsid w:val="00EE0C9C"/>
    <w:rsid w:val="00EE1B4A"/>
    <w:rsid w:val="00EE1C17"/>
    <w:rsid w:val="00EE1D56"/>
    <w:rsid w:val="00EE1F84"/>
    <w:rsid w:val="00EE20B1"/>
    <w:rsid w:val="00EE235A"/>
    <w:rsid w:val="00EE294E"/>
    <w:rsid w:val="00EE35B8"/>
    <w:rsid w:val="00EE3632"/>
    <w:rsid w:val="00EE3EC0"/>
    <w:rsid w:val="00EE427C"/>
    <w:rsid w:val="00EE4392"/>
    <w:rsid w:val="00EE43C1"/>
    <w:rsid w:val="00EE4B3F"/>
    <w:rsid w:val="00EE4DCC"/>
    <w:rsid w:val="00EE5425"/>
    <w:rsid w:val="00EE559E"/>
    <w:rsid w:val="00EE5BB3"/>
    <w:rsid w:val="00EE620B"/>
    <w:rsid w:val="00EE6D82"/>
    <w:rsid w:val="00EE715D"/>
    <w:rsid w:val="00EE7273"/>
    <w:rsid w:val="00EE74FC"/>
    <w:rsid w:val="00EE7916"/>
    <w:rsid w:val="00EE793A"/>
    <w:rsid w:val="00EE7A69"/>
    <w:rsid w:val="00EE7C99"/>
    <w:rsid w:val="00EF0A64"/>
    <w:rsid w:val="00EF132F"/>
    <w:rsid w:val="00EF1392"/>
    <w:rsid w:val="00EF150A"/>
    <w:rsid w:val="00EF18AD"/>
    <w:rsid w:val="00EF19D9"/>
    <w:rsid w:val="00EF2467"/>
    <w:rsid w:val="00EF4844"/>
    <w:rsid w:val="00EF4853"/>
    <w:rsid w:val="00EF4A5A"/>
    <w:rsid w:val="00EF4E5E"/>
    <w:rsid w:val="00EF5112"/>
    <w:rsid w:val="00EF5132"/>
    <w:rsid w:val="00EF5667"/>
    <w:rsid w:val="00EF5D5A"/>
    <w:rsid w:val="00EF5D5C"/>
    <w:rsid w:val="00EF63BB"/>
    <w:rsid w:val="00EF6662"/>
    <w:rsid w:val="00EF6786"/>
    <w:rsid w:val="00EF6D04"/>
    <w:rsid w:val="00EF6D93"/>
    <w:rsid w:val="00EF6EEB"/>
    <w:rsid w:val="00EF760F"/>
    <w:rsid w:val="00EF7671"/>
    <w:rsid w:val="00EF77F0"/>
    <w:rsid w:val="00EF7E34"/>
    <w:rsid w:val="00F00002"/>
    <w:rsid w:val="00F001EC"/>
    <w:rsid w:val="00F003C1"/>
    <w:rsid w:val="00F00918"/>
    <w:rsid w:val="00F009C1"/>
    <w:rsid w:val="00F00EA8"/>
    <w:rsid w:val="00F01186"/>
    <w:rsid w:val="00F011DB"/>
    <w:rsid w:val="00F01A4D"/>
    <w:rsid w:val="00F01EB1"/>
    <w:rsid w:val="00F021AC"/>
    <w:rsid w:val="00F0223F"/>
    <w:rsid w:val="00F029BC"/>
    <w:rsid w:val="00F02BBD"/>
    <w:rsid w:val="00F02C66"/>
    <w:rsid w:val="00F02F44"/>
    <w:rsid w:val="00F0307D"/>
    <w:rsid w:val="00F031F5"/>
    <w:rsid w:val="00F036A3"/>
    <w:rsid w:val="00F0373C"/>
    <w:rsid w:val="00F03B42"/>
    <w:rsid w:val="00F04921"/>
    <w:rsid w:val="00F04E78"/>
    <w:rsid w:val="00F04FEF"/>
    <w:rsid w:val="00F05361"/>
    <w:rsid w:val="00F05B65"/>
    <w:rsid w:val="00F05D9F"/>
    <w:rsid w:val="00F0636F"/>
    <w:rsid w:val="00F06854"/>
    <w:rsid w:val="00F07604"/>
    <w:rsid w:val="00F07613"/>
    <w:rsid w:val="00F0767F"/>
    <w:rsid w:val="00F0785A"/>
    <w:rsid w:val="00F078EC"/>
    <w:rsid w:val="00F07B52"/>
    <w:rsid w:val="00F07B9B"/>
    <w:rsid w:val="00F07C18"/>
    <w:rsid w:val="00F11356"/>
    <w:rsid w:val="00F116D0"/>
    <w:rsid w:val="00F11778"/>
    <w:rsid w:val="00F121D1"/>
    <w:rsid w:val="00F12629"/>
    <w:rsid w:val="00F12B69"/>
    <w:rsid w:val="00F1308B"/>
    <w:rsid w:val="00F134C6"/>
    <w:rsid w:val="00F1354C"/>
    <w:rsid w:val="00F143DE"/>
    <w:rsid w:val="00F1440B"/>
    <w:rsid w:val="00F14777"/>
    <w:rsid w:val="00F147E6"/>
    <w:rsid w:val="00F14FD5"/>
    <w:rsid w:val="00F152D3"/>
    <w:rsid w:val="00F15440"/>
    <w:rsid w:val="00F15E67"/>
    <w:rsid w:val="00F15EFD"/>
    <w:rsid w:val="00F15EFE"/>
    <w:rsid w:val="00F164DE"/>
    <w:rsid w:val="00F16634"/>
    <w:rsid w:val="00F16853"/>
    <w:rsid w:val="00F171F9"/>
    <w:rsid w:val="00F1730F"/>
    <w:rsid w:val="00F178D2"/>
    <w:rsid w:val="00F17A79"/>
    <w:rsid w:val="00F17C66"/>
    <w:rsid w:val="00F202DD"/>
    <w:rsid w:val="00F209F8"/>
    <w:rsid w:val="00F20C34"/>
    <w:rsid w:val="00F2147E"/>
    <w:rsid w:val="00F21609"/>
    <w:rsid w:val="00F21A45"/>
    <w:rsid w:val="00F21B53"/>
    <w:rsid w:val="00F21EB0"/>
    <w:rsid w:val="00F2201B"/>
    <w:rsid w:val="00F22343"/>
    <w:rsid w:val="00F22404"/>
    <w:rsid w:val="00F226B6"/>
    <w:rsid w:val="00F22D6E"/>
    <w:rsid w:val="00F236D5"/>
    <w:rsid w:val="00F238EF"/>
    <w:rsid w:val="00F23EBE"/>
    <w:rsid w:val="00F248C7"/>
    <w:rsid w:val="00F24B8E"/>
    <w:rsid w:val="00F24D6A"/>
    <w:rsid w:val="00F24FFD"/>
    <w:rsid w:val="00F2574A"/>
    <w:rsid w:val="00F25763"/>
    <w:rsid w:val="00F2594A"/>
    <w:rsid w:val="00F25CA3"/>
    <w:rsid w:val="00F25F64"/>
    <w:rsid w:val="00F25FC7"/>
    <w:rsid w:val="00F2630A"/>
    <w:rsid w:val="00F263AD"/>
    <w:rsid w:val="00F264B8"/>
    <w:rsid w:val="00F26A5A"/>
    <w:rsid w:val="00F26D06"/>
    <w:rsid w:val="00F26D38"/>
    <w:rsid w:val="00F26E72"/>
    <w:rsid w:val="00F27536"/>
    <w:rsid w:val="00F27B76"/>
    <w:rsid w:val="00F3040E"/>
    <w:rsid w:val="00F304A8"/>
    <w:rsid w:val="00F309CA"/>
    <w:rsid w:val="00F30B91"/>
    <w:rsid w:val="00F30F5D"/>
    <w:rsid w:val="00F31206"/>
    <w:rsid w:val="00F31532"/>
    <w:rsid w:val="00F3173A"/>
    <w:rsid w:val="00F31861"/>
    <w:rsid w:val="00F32088"/>
    <w:rsid w:val="00F32913"/>
    <w:rsid w:val="00F32A66"/>
    <w:rsid w:val="00F3324D"/>
    <w:rsid w:val="00F34210"/>
    <w:rsid w:val="00F34F66"/>
    <w:rsid w:val="00F350C6"/>
    <w:rsid w:val="00F3511E"/>
    <w:rsid w:val="00F351F7"/>
    <w:rsid w:val="00F3525E"/>
    <w:rsid w:val="00F35885"/>
    <w:rsid w:val="00F36019"/>
    <w:rsid w:val="00F36605"/>
    <w:rsid w:val="00F366FB"/>
    <w:rsid w:val="00F36C9F"/>
    <w:rsid w:val="00F375F4"/>
    <w:rsid w:val="00F378A6"/>
    <w:rsid w:val="00F3796D"/>
    <w:rsid w:val="00F40202"/>
    <w:rsid w:val="00F40BE9"/>
    <w:rsid w:val="00F40ED3"/>
    <w:rsid w:val="00F411C1"/>
    <w:rsid w:val="00F4123C"/>
    <w:rsid w:val="00F4131E"/>
    <w:rsid w:val="00F4135A"/>
    <w:rsid w:val="00F42164"/>
    <w:rsid w:val="00F42AC0"/>
    <w:rsid w:val="00F43A56"/>
    <w:rsid w:val="00F43DD0"/>
    <w:rsid w:val="00F4417C"/>
    <w:rsid w:val="00F44203"/>
    <w:rsid w:val="00F445FF"/>
    <w:rsid w:val="00F4463B"/>
    <w:rsid w:val="00F44AF1"/>
    <w:rsid w:val="00F451D4"/>
    <w:rsid w:val="00F4541A"/>
    <w:rsid w:val="00F45AE2"/>
    <w:rsid w:val="00F45BD4"/>
    <w:rsid w:val="00F45EDF"/>
    <w:rsid w:val="00F46184"/>
    <w:rsid w:val="00F4625D"/>
    <w:rsid w:val="00F4638F"/>
    <w:rsid w:val="00F466B3"/>
    <w:rsid w:val="00F467AF"/>
    <w:rsid w:val="00F468E9"/>
    <w:rsid w:val="00F470D0"/>
    <w:rsid w:val="00F473D8"/>
    <w:rsid w:val="00F47643"/>
    <w:rsid w:val="00F47788"/>
    <w:rsid w:val="00F47849"/>
    <w:rsid w:val="00F478EB"/>
    <w:rsid w:val="00F47DD5"/>
    <w:rsid w:val="00F50BA3"/>
    <w:rsid w:val="00F51106"/>
    <w:rsid w:val="00F514E3"/>
    <w:rsid w:val="00F51A14"/>
    <w:rsid w:val="00F521AA"/>
    <w:rsid w:val="00F52501"/>
    <w:rsid w:val="00F52838"/>
    <w:rsid w:val="00F531C9"/>
    <w:rsid w:val="00F53B78"/>
    <w:rsid w:val="00F53BB4"/>
    <w:rsid w:val="00F54251"/>
    <w:rsid w:val="00F5455E"/>
    <w:rsid w:val="00F547A4"/>
    <w:rsid w:val="00F54897"/>
    <w:rsid w:val="00F548B6"/>
    <w:rsid w:val="00F54D38"/>
    <w:rsid w:val="00F55082"/>
    <w:rsid w:val="00F553BF"/>
    <w:rsid w:val="00F558E6"/>
    <w:rsid w:val="00F55EAA"/>
    <w:rsid w:val="00F55F46"/>
    <w:rsid w:val="00F5629A"/>
    <w:rsid w:val="00F562A2"/>
    <w:rsid w:val="00F56A10"/>
    <w:rsid w:val="00F57054"/>
    <w:rsid w:val="00F571DB"/>
    <w:rsid w:val="00F572FE"/>
    <w:rsid w:val="00F5769E"/>
    <w:rsid w:val="00F5774F"/>
    <w:rsid w:val="00F579D5"/>
    <w:rsid w:val="00F57E50"/>
    <w:rsid w:val="00F57F20"/>
    <w:rsid w:val="00F60617"/>
    <w:rsid w:val="00F60639"/>
    <w:rsid w:val="00F60C47"/>
    <w:rsid w:val="00F60F0A"/>
    <w:rsid w:val="00F6140D"/>
    <w:rsid w:val="00F61C2B"/>
    <w:rsid w:val="00F62348"/>
    <w:rsid w:val="00F625E6"/>
    <w:rsid w:val="00F62660"/>
    <w:rsid w:val="00F6281D"/>
    <w:rsid w:val="00F62D25"/>
    <w:rsid w:val="00F62FEE"/>
    <w:rsid w:val="00F630ED"/>
    <w:rsid w:val="00F6367D"/>
    <w:rsid w:val="00F6436A"/>
    <w:rsid w:val="00F6480B"/>
    <w:rsid w:val="00F64A00"/>
    <w:rsid w:val="00F64B26"/>
    <w:rsid w:val="00F64BC9"/>
    <w:rsid w:val="00F651FB"/>
    <w:rsid w:val="00F655F5"/>
    <w:rsid w:val="00F65886"/>
    <w:rsid w:val="00F65A67"/>
    <w:rsid w:val="00F65BDC"/>
    <w:rsid w:val="00F65F1F"/>
    <w:rsid w:val="00F66042"/>
    <w:rsid w:val="00F663E4"/>
    <w:rsid w:val="00F66822"/>
    <w:rsid w:val="00F66A6E"/>
    <w:rsid w:val="00F66D44"/>
    <w:rsid w:val="00F66F07"/>
    <w:rsid w:val="00F67097"/>
    <w:rsid w:val="00F67329"/>
    <w:rsid w:val="00F674DA"/>
    <w:rsid w:val="00F67D3F"/>
    <w:rsid w:val="00F67EE8"/>
    <w:rsid w:val="00F7002C"/>
    <w:rsid w:val="00F700D8"/>
    <w:rsid w:val="00F708F1"/>
    <w:rsid w:val="00F70ED3"/>
    <w:rsid w:val="00F70FDD"/>
    <w:rsid w:val="00F71320"/>
    <w:rsid w:val="00F715E5"/>
    <w:rsid w:val="00F71A7A"/>
    <w:rsid w:val="00F722BE"/>
    <w:rsid w:val="00F72844"/>
    <w:rsid w:val="00F729DC"/>
    <w:rsid w:val="00F729F1"/>
    <w:rsid w:val="00F72B73"/>
    <w:rsid w:val="00F731D7"/>
    <w:rsid w:val="00F73702"/>
    <w:rsid w:val="00F73BCF"/>
    <w:rsid w:val="00F74166"/>
    <w:rsid w:val="00F752A2"/>
    <w:rsid w:val="00F75776"/>
    <w:rsid w:val="00F75AC3"/>
    <w:rsid w:val="00F75ADB"/>
    <w:rsid w:val="00F75EF5"/>
    <w:rsid w:val="00F7602D"/>
    <w:rsid w:val="00F76363"/>
    <w:rsid w:val="00F7685D"/>
    <w:rsid w:val="00F76C6C"/>
    <w:rsid w:val="00F76D4A"/>
    <w:rsid w:val="00F77119"/>
    <w:rsid w:val="00F77328"/>
    <w:rsid w:val="00F77E63"/>
    <w:rsid w:val="00F8037E"/>
    <w:rsid w:val="00F803B7"/>
    <w:rsid w:val="00F806C9"/>
    <w:rsid w:val="00F807F7"/>
    <w:rsid w:val="00F8099F"/>
    <w:rsid w:val="00F816F6"/>
    <w:rsid w:val="00F81CDD"/>
    <w:rsid w:val="00F82D8A"/>
    <w:rsid w:val="00F8324B"/>
    <w:rsid w:val="00F838A8"/>
    <w:rsid w:val="00F83A8A"/>
    <w:rsid w:val="00F84A5A"/>
    <w:rsid w:val="00F85A9D"/>
    <w:rsid w:val="00F85B83"/>
    <w:rsid w:val="00F860D8"/>
    <w:rsid w:val="00F86914"/>
    <w:rsid w:val="00F86B73"/>
    <w:rsid w:val="00F870BF"/>
    <w:rsid w:val="00F8754B"/>
    <w:rsid w:val="00F9012C"/>
    <w:rsid w:val="00F90377"/>
    <w:rsid w:val="00F90ADE"/>
    <w:rsid w:val="00F9176D"/>
    <w:rsid w:val="00F91D3B"/>
    <w:rsid w:val="00F91D8E"/>
    <w:rsid w:val="00F91FB6"/>
    <w:rsid w:val="00F923B9"/>
    <w:rsid w:val="00F927E3"/>
    <w:rsid w:val="00F92F2C"/>
    <w:rsid w:val="00F934BB"/>
    <w:rsid w:val="00F939B6"/>
    <w:rsid w:val="00F93D52"/>
    <w:rsid w:val="00F93EC8"/>
    <w:rsid w:val="00F9440D"/>
    <w:rsid w:val="00F94A68"/>
    <w:rsid w:val="00F94BC6"/>
    <w:rsid w:val="00F94BC8"/>
    <w:rsid w:val="00F94C99"/>
    <w:rsid w:val="00F95E60"/>
    <w:rsid w:val="00F96019"/>
    <w:rsid w:val="00F9640C"/>
    <w:rsid w:val="00F9667A"/>
    <w:rsid w:val="00F9727D"/>
    <w:rsid w:val="00F9741B"/>
    <w:rsid w:val="00F97B70"/>
    <w:rsid w:val="00F97BCC"/>
    <w:rsid w:val="00FA057A"/>
    <w:rsid w:val="00FA0665"/>
    <w:rsid w:val="00FA0A8E"/>
    <w:rsid w:val="00FA189A"/>
    <w:rsid w:val="00FA1A50"/>
    <w:rsid w:val="00FA1D9A"/>
    <w:rsid w:val="00FA1F76"/>
    <w:rsid w:val="00FA26F8"/>
    <w:rsid w:val="00FA276F"/>
    <w:rsid w:val="00FA33C1"/>
    <w:rsid w:val="00FA3509"/>
    <w:rsid w:val="00FA357D"/>
    <w:rsid w:val="00FA3AE6"/>
    <w:rsid w:val="00FA3E60"/>
    <w:rsid w:val="00FA3EC1"/>
    <w:rsid w:val="00FA40E6"/>
    <w:rsid w:val="00FA4628"/>
    <w:rsid w:val="00FA49E0"/>
    <w:rsid w:val="00FA5819"/>
    <w:rsid w:val="00FA5C9E"/>
    <w:rsid w:val="00FA5D5F"/>
    <w:rsid w:val="00FA66C6"/>
    <w:rsid w:val="00FA6F3D"/>
    <w:rsid w:val="00FA77FB"/>
    <w:rsid w:val="00FA7D36"/>
    <w:rsid w:val="00FB016A"/>
    <w:rsid w:val="00FB055C"/>
    <w:rsid w:val="00FB0D77"/>
    <w:rsid w:val="00FB0D91"/>
    <w:rsid w:val="00FB0E86"/>
    <w:rsid w:val="00FB0F89"/>
    <w:rsid w:val="00FB172B"/>
    <w:rsid w:val="00FB24EB"/>
    <w:rsid w:val="00FB274B"/>
    <w:rsid w:val="00FB39F2"/>
    <w:rsid w:val="00FB3C2C"/>
    <w:rsid w:val="00FB3FE2"/>
    <w:rsid w:val="00FB3FEE"/>
    <w:rsid w:val="00FB4372"/>
    <w:rsid w:val="00FB568A"/>
    <w:rsid w:val="00FB5967"/>
    <w:rsid w:val="00FB5AFD"/>
    <w:rsid w:val="00FB5B5B"/>
    <w:rsid w:val="00FB5D5B"/>
    <w:rsid w:val="00FB6CE2"/>
    <w:rsid w:val="00FB77CF"/>
    <w:rsid w:val="00FB7A8F"/>
    <w:rsid w:val="00FB7ACB"/>
    <w:rsid w:val="00FB7F03"/>
    <w:rsid w:val="00FC01EC"/>
    <w:rsid w:val="00FC051A"/>
    <w:rsid w:val="00FC0E47"/>
    <w:rsid w:val="00FC1402"/>
    <w:rsid w:val="00FC15F6"/>
    <w:rsid w:val="00FC194F"/>
    <w:rsid w:val="00FC1B18"/>
    <w:rsid w:val="00FC2295"/>
    <w:rsid w:val="00FC29D5"/>
    <w:rsid w:val="00FC2AF3"/>
    <w:rsid w:val="00FC2DCC"/>
    <w:rsid w:val="00FC35FA"/>
    <w:rsid w:val="00FC370E"/>
    <w:rsid w:val="00FC3D15"/>
    <w:rsid w:val="00FC3D4C"/>
    <w:rsid w:val="00FC40E0"/>
    <w:rsid w:val="00FC4846"/>
    <w:rsid w:val="00FC5486"/>
    <w:rsid w:val="00FC58D3"/>
    <w:rsid w:val="00FC6222"/>
    <w:rsid w:val="00FC6EC0"/>
    <w:rsid w:val="00FC7770"/>
    <w:rsid w:val="00FC77C7"/>
    <w:rsid w:val="00FC7F65"/>
    <w:rsid w:val="00FD0D3F"/>
    <w:rsid w:val="00FD0F5C"/>
    <w:rsid w:val="00FD1298"/>
    <w:rsid w:val="00FD1CCA"/>
    <w:rsid w:val="00FD277B"/>
    <w:rsid w:val="00FD2CBA"/>
    <w:rsid w:val="00FD362E"/>
    <w:rsid w:val="00FD3816"/>
    <w:rsid w:val="00FD3AEE"/>
    <w:rsid w:val="00FD4281"/>
    <w:rsid w:val="00FD510F"/>
    <w:rsid w:val="00FD56F6"/>
    <w:rsid w:val="00FD5DF2"/>
    <w:rsid w:val="00FD5E28"/>
    <w:rsid w:val="00FD5E9E"/>
    <w:rsid w:val="00FD675A"/>
    <w:rsid w:val="00FD6EA3"/>
    <w:rsid w:val="00FD7514"/>
    <w:rsid w:val="00FD77A4"/>
    <w:rsid w:val="00FE03DA"/>
    <w:rsid w:val="00FE0897"/>
    <w:rsid w:val="00FE0940"/>
    <w:rsid w:val="00FE0989"/>
    <w:rsid w:val="00FE0E36"/>
    <w:rsid w:val="00FE102E"/>
    <w:rsid w:val="00FE1A57"/>
    <w:rsid w:val="00FE1FB4"/>
    <w:rsid w:val="00FE23B0"/>
    <w:rsid w:val="00FE24A9"/>
    <w:rsid w:val="00FE28C4"/>
    <w:rsid w:val="00FE34DC"/>
    <w:rsid w:val="00FE354B"/>
    <w:rsid w:val="00FE371A"/>
    <w:rsid w:val="00FE37E9"/>
    <w:rsid w:val="00FE3D93"/>
    <w:rsid w:val="00FE4329"/>
    <w:rsid w:val="00FE44CB"/>
    <w:rsid w:val="00FE45BD"/>
    <w:rsid w:val="00FE4D06"/>
    <w:rsid w:val="00FE574B"/>
    <w:rsid w:val="00FE6632"/>
    <w:rsid w:val="00FE66ED"/>
    <w:rsid w:val="00FE68E7"/>
    <w:rsid w:val="00FE6C64"/>
    <w:rsid w:val="00FE6F3D"/>
    <w:rsid w:val="00FE76FA"/>
    <w:rsid w:val="00FE77D3"/>
    <w:rsid w:val="00FF02F7"/>
    <w:rsid w:val="00FF062D"/>
    <w:rsid w:val="00FF0D5B"/>
    <w:rsid w:val="00FF1329"/>
    <w:rsid w:val="00FF1643"/>
    <w:rsid w:val="00FF1B15"/>
    <w:rsid w:val="00FF1CE1"/>
    <w:rsid w:val="00FF1E0B"/>
    <w:rsid w:val="00FF2021"/>
    <w:rsid w:val="00FF24A7"/>
    <w:rsid w:val="00FF2948"/>
    <w:rsid w:val="00FF2A25"/>
    <w:rsid w:val="00FF2A98"/>
    <w:rsid w:val="00FF2C48"/>
    <w:rsid w:val="00FF2F44"/>
    <w:rsid w:val="00FF314A"/>
    <w:rsid w:val="00FF34CD"/>
    <w:rsid w:val="00FF352D"/>
    <w:rsid w:val="00FF360F"/>
    <w:rsid w:val="00FF3965"/>
    <w:rsid w:val="00FF396F"/>
    <w:rsid w:val="00FF3AA1"/>
    <w:rsid w:val="00FF4397"/>
    <w:rsid w:val="00FF4541"/>
    <w:rsid w:val="00FF463E"/>
    <w:rsid w:val="00FF4BAF"/>
    <w:rsid w:val="00FF4ED3"/>
    <w:rsid w:val="00FF50D5"/>
    <w:rsid w:val="00FF537D"/>
    <w:rsid w:val="00FF6180"/>
    <w:rsid w:val="00FF64E9"/>
    <w:rsid w:val="00FF6E50"/>
    <w:rsid w:val="00FF6E89"/>
    <w:rsid w:val="00FF7965"/>
    <w:rsid w:val="00FF799E"/>
    <w:rsid w:val="00FF7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E121C"/>
  <w15:docId w15:val="{958419AC-E1D3-4081-855A-93506C9CE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E15"/>
    <w:rPr>
      <w:sz w:val="24"/>
      <w:szCs w:val="24"/>
      <w:lang w:val="bg-BG"/>
    </w:rPr>
  </w:style>
  <w:style w:type="paragraph" w:styleId="Heading1">
    <w:name w:val="heading 1"/>
    <w:basedOn w:val="Normal"/>
    <w:next w:val="Normal"/>
    <w:link w:val="Heading1Char"/>
    <w:qFormat/>
    <w:rsid w:val="00063E15"/>
    <w:pPr>
      <w:keepNext/>
      <w:jc w:val="center"/>
      <w:outlineLvl w:val="0"/>
    </w:pPr>
    <w:rPr>
      <w:b/>
      <w:bCs/>
      <w:sz w:val="28"/>
    </w:rPr>
  </w:style>
  <w:style w:type="paragraph" w:styleId="Heading2">
    <w:name w:val="heading 2"/>
    <w:basedOn w:val="Normal"/>
    <w:next w:val="Normal"/>
    <w:qFormat/>
    <w:rsid w:val="00C26FE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6239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063E15"/>
    <w:pPr>
      <w:jc w:val="center"/>
    </w:pPr>
    <w:rPr>
      <w:b/>
      <w:szCs w:val="20"/>
    </w:rPr>
  </w:style>
  <w:style w:type="paragraph" w:customStyle="1" w:styleId="ParagraphNumbering">
    <w:name w:val="Paragraph Numbering"/>
    <w:basedOn w:val="Normal"/>
    <w:rsid w:val="0028159B"/>
    <w:pPr>
      <w:numPr>
        <w:numId w:val="1"/>
      </w:numPr>
      <w:spacing w:after="240"/>
    </w:pPr>
    <w:rPr>
      <w:lang w:val="en-US"/>
    </w:rPr>
  </w:style>
  <w:style w:type="paragraph" w:styleId="FootnoteText">
    <w:name w:val="footnote text"/>
    <w:aliases w:val="Fußnotentext arial,Footnote1,Footnote2,Footnote3,stile 1,Footnote4,Footnote5,Footnote6,Footnote7,Footnote8,Footnote9,Footnote10,Footnote11,Footnote21,Footnote31,Footnote41,Footnote51,Footnote61,Footnote71,Footnote81,Footnote91,single spa"/>
    <w:basedOn w:val="Normal"/>
    <w:link w:val="FootnoteTextChar"/>
    <w:semiHidden/>
    <w:rsid w:val="003459AC"/>
    <w:rPr>
      <w:sz w:val="20"/>
      <w:szCs w:val="20"/>
      <w:lang w:val="en-US"/>
    </w:rPr>
  </w:style>
  <w:style w:type="character" w:styleId="FootnoteReference">
    <w:name w:val="footnote reference"/>
    <w:aliases w:val="Footnote,Footnote symbol,SUPERS,BVI fnr,Footnote reference number,Times 10 Point,Exposant 3 Point,Ref,de nota al pie,note TESI,EN Footnote text,EN Footnote Reference,Footnote Reference Number,E FNZ,Appel note de bas de p,Nota,BVI fnr1"/>
    <w:qFormat/>
    <w:rsid w:val="003459AC"/>
    <w:rPr>
      <w:vertAlign w:val="superscript"/>
    </w:rPr>
  </w:style>
  <w:style w:type="paragraph" w:styleId="BodyText">
    <w:name w:val="Body Text"/>
    <w:basedOn w:val="Normal"/>
    <w:link w:val="BodyTextChar"/>
    <w:rsid w:val="003459AC"/>
    <w:pPr>
      <w:jc w:val="both"/>
    </w:pPr>
  </w:style>
  <w:style w:type="paragraph" w:styleId="BodyTextIndent">
    <w:name w:val="Body Text Indent"/>
    <w:basedOn w:val="Normal"/>
    <w:link w:val="BodyTextIndentChar"/>
    <w:uiPriority w:val="99"/>
    <w:rsid w:val="003459AC"/>
    <w:pPr>
      <w:spacing w:after="120"/>
      <w:ind w:left="283"/>
    </w:pPr>
  </w:style>
  <w:style w:type="paragraph" w:styleId="BodyText2">
    <w:name w:val="Body Text 2"/>
    <w:basedOn w:val="Normal"/>
    <w:link w:val="BodyText2Char"/>
    <w:rsid w:val="003459AC"/>
    <w:pPr>
      <w:spacing w:after="120" w:line="480" w:lineRule="auto"/>
    </w:pPr>
  </w:style>
  <w:style w:type="paragraph" w:styleId="BlockText">
    <w:name w:val="Block Text"/>
    <w:basedOn w:val="Normal"/>
    <w:rsid w:val="003459AC"/>
    <w:pPr>
      <w:ind w:left="720" w:right="1106"/>
    </w:pPr>
    <w:rPr>
      <w:b/>
      <w:bCs/>
    </w:rPr>
  </w:style>
  <w:style w:type="table" w:styleId="TableGrid">
    <w:name w:val="Table Grid"/>
    <w:basedOn w:val="TableNormal"/>
    <w:rsid w:val="00345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Header Char1 Char,Header Char Char Char,Header Char3 Char Char Char,Header Char1 Char Char Char Char1 Char,Header Char Char Char Char Char Char1 Char,Header Char2 Char1 Char Char Char,Header Char2,Header Char1 Char1,Header Char Char1"/>
    <w:basedOn w:val="Normal"/>
    <w:link w:val="HeaderChar1"/>
    <w:rsid w:val="001D40DA"/>
    <w:pPr>
      <w:tabs>
        <w:tab w:val="center" w:pos="4153"/>
        <w:tab w:val="right" w:pos="8306"/>
      </w:tabs>
    </w:pPr>
    <w:rPr>
      <w:lang w:eastAsia="bg-BG"/>
    </w:rPr>
  </w:style>
  <w:style w:type="paragraph" w:styleId="BodyText3">
    <w:name w:val="Body Text 3"/>
    <w:basedOn w:val="Normal"/>
    <w:rsid w:val="00262391"/>
    <w:pPr>
      <w:spacing w:after="120"/>
    </w:pPr>
    <w:rPr>
      <w:sz w:val="16"/>
      <w:szCs w:val="16"/>
    </w:rPr>
  </w:style>
  <w:style w:type="paragraph" w:styleId="Footer">
    <w:name w:val="footer"/>
    <w:basedOn w:val="Normal"/>
    <w:link w:val="FooterChar"/>
    <w:uiPriority w:val="99"/>
    <w:rsid w:val="00A74112"/>
    <w:pPr>
      <w:tabs>
        <w:tab w:val="center" w:pos="4536"/>
        <w:tab w:val="right" w:pos="9072"/>
      </w:tabs>
    </w:pPr>
  </w:style>
  <w:style w:type="character" w:styleId="PageNumber">
    <w:name w:val="page number"/>
    <w:basedOn w:val="DefaultParagraphFont"/>
    <w:rsid w:val="00A74112"/>
  </w:style>
  <w:style w:type="paragraph" w:customStyle="1" w:styleId="CharChar3CharChar">
    <w:name w:val="Char Char3 Char Char"/>
    <w:basedOn w:val="Normal"/>
    <w:semiHidden/>
    <w:rsid w:val="00EE4B3F"/>
    <w:pPr>
      <w:tabs>
        <w:tab w:val="left" w:pos="709"/>
      </w:tabs>
    </w:pPr>
    <w:rPr>
      <w:rFonts w:ascii="Futura Bk" w:hAnsi="Futura Bk"/>
      <w:lang w:val="pl-PL" w:eastAsia="pl-PL"/>
    </w:rPr>
  </w:style>
  <w:style w:type="paragraph" w:customStyle="1" w:styleId="CharCharCharChar">
    <w:name w:val="Char Char Char Char"/>
    <w:basedOn w:val="Normal"/>
    <w:rsid w:val="00A14560"/>
    <w:pPr>
      <w:spacing w:after="160" w:line="240" w:lineRule="exact"/>
    </w:pPr>
    <w:rPr>
      <w:rFonts w:ascii="Tahoma" w:hAnsi="Tahoma"/>
      <w:sz w:val="20"/>
      <w:szCs w:val="20"/>
      <w:lang w:val="en-US"/>
    </w:rPr>
  </w:style>
  <w:style w:type="paragraph" w:styleId="BodyTextIndent2">
    <w:name w:val="Body Text Indent 2"/>
    <w:basedOn w:val="Normal"/>
    <w:rsid w:val="00C32154"/>
    <w:pPr>
      <w:spacing w:after="120" w:line="480" w:lineRule="auto"/>
      <w:ind w:left="283"/>
    </w:pPr>
  </w:style>
  <w:style w:type="paragraph" w:styleId="BalloonText">
    <w:name w:val="Balloon Text"/>
    <w:basedOn w:val="Normal"/>
    <w:link w:val="BalloonTextChar"/>
    <w:semiHidden/>
    <w:rsid w:val="00144BF2"/>
    <w:rPr>
      <w:rFonts w:ascii="Tahoma" w:hAnsi="Tahoma" w:cs="Tahoma"/>
      <w:sz w:val="16"/>
      <w:szCs w:val="16"/>
    </w:rPr>
  </w:style>
  <w:style w:type="paragraph" w:styleId="EndnoteText">
    <w:name w:val="endnote text"/>
    <w:basedOn w:val="Normal"/>
    <w:semiHidden/>
    <w:rsid w:val="00F870BF"/>
    <w:rPr>
      <w:sz w:val="20"/>
      <w:szCs w:val="20"/>
    </w:rPr>
  </w:style>
  <w:style w:type="character" w:styleId="EndnoteReference">
    <w:name w:val="endnote reference"/>
    <w:semiHidden/>
    <w:rsid w:val="00F870BF"/>
    <w:rPr>
      <w:vertAlign w:val="superscript"/>
    </w:rPr>
  </w:style>
  <w:style w:type="character" w:styleId="CommentReference">
    <w:name w:val="annotation reference"/>
    <w:semiHidden/>
    <w:rsid w:val="00A252C3"/>
    <w:rPr>
      <w:sz w:val="16"/>
      <w:szCs w:val="16"/>
    </w:rPr>
  </w:style>
  <w:style w:type="paragraph" w:styleId="CommentText">
    <w:name w:val="annotation text"/>
    <w:basedOn w:val="Normal"/>
    <w:link w:val="CommentTextChar"/>
    <w:semiHidden/>
    <w:rsid w:val="00A252C3"/>
    <w:rPr>
      <w:sz w:val="20"/>
      <w:szCs w:val="20"/>
    </w:rPr>
  </w:style>
  <w:style w:type="character" w:customStyle="1" w:styleId="HeaderChar1">
    <w:name w:val="Header Char1"/>
    <w:aliases w:val="Header Char Char,Header Char1 Char Char,Header Char Char Char Char,Header Char3 Char Char Char Char,Header Char1 Char Char Char Char1 Char Char,Header Char Char Char Char Char Char1 Char Char,Header Char2 Char1 Char Char Char Char"/>
    <w:link w:val="Header"/>
    <w:rsid w:val="00166023"/>
    <w:rPr>
      <w:sz w:val="24"/>
      <w:szCs w:val="24"/>
      <w:lang w:val="bg-BG" w:eastAsia="bg-BG" w:bidi="ar-SA"/>
    </w:rPr>
  </w:style>
  <w:style w:type="paragraph" w:customStyle="1" w:styleId="Char1">
    <w:name w:val="Char1"/>
    <w:basedOn w:val="Normal"/>
    <w:semiHidden/>
    <w:rsid w:val="008138E4"/>
    <w:pPr>
      <w:tabs>
        <w:tab w:val="left" w:pos="709"/>
      </w:tabs>
    </w:pPr>
    <w:rPr>
      <w:rFonts w:ascii="Futura Bk" w:hAnsi="Futura Bk"/>
      <w:lang w:val="pl-PL" w:eastAsia="pl-PL"/>
    </w:rPr>
  </w:style>
  <w:style w:type="paragraph" w:customStyle="1" w:styleId="default">
    <w:name w:val="default"/>
    <w:basedOn w:val="Normal"/>
    <w:rsid w:val="003C14B1"/>
    <w:pPr>
      <w:spacing w:before="100" w:beforeAutospacing="1" w:after="100" w:afterAutospacing="1"/>
    </w:pPr>
    <w:rPr>
      <w:lang w:eastAsia="bg-BG"/>
    </w:rPr>
  </w:style>
  <w:style w:type="character" w:styleId="Strong">
    <w:name w:val="Strong"/>
    <w:uiPriority w:val="99"/>
    <w:qFormat/>
    <w:rsid w:val="003E37A0"/>
    <w:rPr>
      <w:b/>
      <w:bCs/>
    </w:rPr>
  </w:style>
  <w:style w:type="character" w:customStyle="1" w:styleId="BalloonTextChar">
    <w:name w:val="Balloon Text Char"/>
    <w:link w:val="BalloonText"/>
    <w:semiHidden/>
    <w:locked/>
    <w:rsid w:val="00DD1EFE"/>
    <w:rPr>
      <w:rFonts w:ascii="Tahoma" w:hAnsi="Tahoma" w:cs="Tahoma"/>
      <w:sz w:val="16"/>
      <w:szCs w:val="16"/>
      <w:lang w:val="en-GB" w:eastAsia="en-US" w:bidi="ar-SA"/>
    </w:rPr>
  </w:style>
  <w:style w:type="paragraph" w:customStyle="1" w:styleId="Default0">
    <w:name w:val="Default"/>
    <w:rsid w:val="00DD1EFE"/>
    <w:pPr>
      <w:autoSpaceDE w:val="0"/>
      <w:autoSpaceDN w:val="0"/>
      <w:adjustRightInd w:val="0"/>
    </w:pPr>
    <w:rPr>
      <w:rFonts w:ascii="Calibri" w:hAnsi="Calibri" w:cs="Calibri"/>
      <w:color w:val="000000"/>
      <w:sz w:val="24"/>
      <w:szCs w:val="24"/>
      <w:lang w:val="bg-BG"/>
    </w:rPr>
  </w:style>
  <w:style w:type="character" w:customStyle="1" w:styleId="FootnoteTextChar">
    <w:name w:val="Footnote Text Char"/>
    <w:aliases w:val="Fußnotentext arial Char,Footnote1 Char,Footnote2 Char,Footnote3 Char,stile 1 Char,Footnote4 Char,Footnote5 Char,Footnote6 Char,Footnote7 Char,Footnote8 Char,Footnote9 Char,Footnote10 Char,Footnote11 Char,Footnote21 Char"/>
    <w:link w:val="FootnoteText"/>
    <w:rsid w:val="009A3FA1"/>
    <w:rPr>
      <w:lang w:val="en-US" w:eastAsia="en-US" w:bidi="ar-SA"/>
    </w:rPr>
  </w:style>
  <w:style w:type="paragraph" w:customStyle="1" w:styleId="CharCharCharChar1">
    <w:name w:val="Char Char Char Char1"/>
    <w:basedOn w:val="Normal"/>
    <w:semiHidden/>
    <w:rsid w:val="00B20BB9"/>
    <w:pPr>
      <w:tabs>
        <w:tab w:val="left" w:pos="709"/>
      </w:tabs>
    </w:pPr>
    <w:rPr>
      <w:rFonts w:ascii="Futura Bk" w:hAnsi="Futura Bk"/>
      <w:lang w:val="pl-PL" w:eastAsia="pl-PL"/>
    </w:rPr>
  </w:style>
  <w:style w:type="character" w:customStyle="1" w:styleId="BodyText2Char">
    <w:name w:val="Body Text 2 Char"/>
    <w:link w:val="BodyText2"/>
    <w:locked/>
    <w:rsid w:val="002D5811"/>
    <w:rPr>
      <w:sz w:val="24"/>
      <w:szCs w:val="24"/>
      <w:lang w:val="en-GB" w:eastAsia="en-US" w:bidi="ar-SA"/>
    </w:rPr>
  </w:style>
  <w:style w:type="character" w:styleId="Hyperlink">
    <w:name w:val="Hyperlink"/>
    <w:unhideWhenUsed/>
    <w:rsid w:val="00231385"/>
    <w:rPr>
      <w:strike w:val="0"/>
      <w:dstrike w:val="0"/>
      <w:color w:val="004A8F"/>
      <w:u w:val="none"/>
      <w:effect w:val="none"/>
    </w:rPr>
  </w:style>
  <w:style w:type="paragraph" w:styleId="NormalWeb">
    <w:name w:val="Normal (Web)"/>
    <w:basedOn w:val="Normal"/>
    <w:unhideWhenUsed/>
    <w:rsid w:val="00231385"/>
    <w:pPr>
      <w:spacing w:before="100" w:beforeAutospacing="1" w:after="100" w:afterAutospacing="1" w:line="312" w:lineRule="atLeast"/>
      <w:jc w:val="both"/>
    </w:pPr>
    <w:rPr>
      <w:lang w:val="en-US"/>
    </w:rPr>
  </w:style>
  <w:style w:type="character" w:customStyle="1" w:styleId="ala13">
    <w:name w:val="al_a13"/>
    <w:uiPriority w:val="99"/>
    <w:rsid w:val="00B7424D"/>
  </w:style>
  <w:style w:type="paragraph" w:styleId="ListParagraph">
    <w:name w:val="List Paragraph"/>
    <w:aliases w:val="Recommendatio,Párrafo de lista,Recommendation,OBC Bullet,Dot pt,F5 List Paragraph,No Spacing1,List Paragraph Char Char Char,Indicator Text,Numbered Para 1,Bullet 1,Bullet Points,List Paragraph2,L,3,References,Colorful List - Accent 11"/>
    <w:basedOn w:val="Normal"/>
    <w:link w:val="ListParagraphChar"/>
    <w:uiPriority w:val="34"/>
    <w:qFormat/>
    <w:rsid w:val="00C818E7"/>
    <w:pPr>
      <w:spacing w:after="120" w:line="360" w:lineRule="auto"/>
      <w:ind w:left="720" w:firstLine="720"/>
      <w:contextualSpacing/>
      <w:jc w:val="both"/>
    </w:pPr>
    <w:rPr>
      <w:rFonts w:ascii="Arial" w:hAnsi="Arial"/>
      <w:szCs w:val="20"/>
    </w:rPr>
  </w:style>
  <w:style w:type="paragraph" w:customStyle="1" w:styleId="CharChar3">
    <w:name w:val="Char Char3"/>
    <w:basedOn w:val="Normal"/>
    <w:semiHidden/>
    <w:rsid w:val="009269F4"/>
    <w:pPr>
      <w:tabs>
        <w:tab w:val="left" w:pos="709"/>
      </w:tabs>
    </w:pPr>
    <w:rPr>
      <w:rFonts w:ascii="Futura Bk" w:hAnsi="Futura Bk"/>
      <w:lang w:val="pl-PL" w:eastAsia="pl-PL"/>
    </w:rPr>
  </w:style>
  <w:style w:type="character" w:customStyle="1" w:styleId="BodyTextIndentChar">
    <w:name w:val="Body Text Indent Char"/>
    <w:link w:val="BodyTextIndent"/>
    <w:uiPriority w:val="99"/>
    <w:locked/>
    <w:rsid w:val="00DA31ED"/>
    <w:rPr>
      <w:sz w:val="24"/>
      <w:szCs w:val="24"/>
      <w:lang w:val="bg-BG"/>
    </w:rPr>
  </w:style>
  <w:style w:type="paragraph" w:customStyle="1" w:styleId="NormalFirstline">
    <w:name w:val="Normal + First line"/>
    <w:aliases w:val="1.25 cm,After 6 pt"/>
    <w:basedOn w:val="Normal"/>
    <w:rsid w:val="00BD3B54"/>
    <w:rPr>
      <w:sz w:val="20"/>
      <w:szCs w:val="20"/>
    </w:rPr>
  </w:style>
  <w:style w:type="paragraph" w:styleId="CommentSubject">
    <w:name w:val="annotation subject"/>
    <w:basedOn w:val="CommentText"/>
    <w:next w:val="CommentText"/>
    <w:link w:val="CommentSubjectChar"/>
    <w:semiHidden/>
    <w:rsid w:val="00381745"/>
    <w:rPr>
      <w:b/>
      <w:bCs/>
    </w:rPr>
  </w:style>
  <w:style w:type="character" w:customStyle="1" w:styleId="CommentTextChar">
    <w:name w:val="Comment Text Char"/>
    <w:link w:val="CommentText"/>
    <w:uiPriority w:val="99"/>
    <w:semiHidden/>
    <w:rsid w:val="009F38CE"/>
    <w:rPr>
      <w:lang w:eastAsia="en-US"/>
    </w:rPr>
  </w:style>
  <w:style w:type="character" w:customStyle="1" w:styleId="CommentSubjectChar">
    <w:name w:val="Comment Subject Char"/>
    <w:link w:val="CommentSubject"/>
    <w:semiHidden/>
    <w:rsid w:val="009F38CE"/>
    <w:rPr>
      <w:b/>
      <w:bCs/>
      <w:lang w:eastAsia="en-US"/>
    </w:rPr>
  </w:style>
  <w:style w:type="character" w:customStyle="1" w:styleId="TitleChar">
    <w:name w:val="Title Char"/>
    <w:link w:val="Title"/>
    <w:uiPriority w:val="10"/>
    <w:rsid w:val="00C1518C"/>
    <w:rPr>
      <w:b/>
      <w:sz w:val="24"/>
      <w:lang w:eastAsia="en-US"/>
    </w:rPr>
  </w:style>
  <w:style w:type="character" w:customStyle="1" w:styleId="BodyTextChar">
    <w:name w:val="Body Text Char"/>
    <w:link w:val="BodyText"/>
    <w:rsid w:val="00A10AC7"/>
    <w:rPr>
      <w:sz w:val="24"/>
      <w:szCs w:val="24"/>
      <w:lang w:val="bg-BG"/>
    </w:rPr>
  </w:style>
  <w:style w:type="paragraph" w:styleId="Revision">
    <w:name w:val="Revision"/>
    <w:hidden/>
    <w:uiPriority w:val="99"/>
    <w:semiHidden/>
    <w:rsid w:val="00F32913"/>
    <w:rPr>
      <w:sz w:val="24"/>
      <w:szCs w:val="24"/>
      <w:lang w:val="bg-BG"/>
    </w:rPr>
  </w:style>
  <w:style w:type="paragraph" w:customStyle="1" w:styleId="m">
    <w:name w:val="m"/>
    <w:basedOn w:val="Normal"/>
    <w:rsid w:val="00675E99"/>
    <w:pPr>
      <w:spacing w:before="100" w:beforeAutospacing="1" w:after="100" w:afterAutospacing="1"/>
    </w:pPr>
    <w:rPr>
      <w:lang w:eastAsia="bg-BG"/>
    </w:rPr>
  </w:style>
  <w:style w:type="character" w:customStyle="1" w:styleId="Heading1Char">
    <w:name w:val="Heading 1 Char"/>
    <w:basedOn w:val="DefaultParagraphFont"/>
    <w:link w:val="Heading1"/>
    <w:rsid w:val="002E2C27"/>
    <w:rPr>
      <w:b/>
      <w:bCs/>
      <w:sz w:val="28"/>
      <w:szCs w:val="24"/>
      <w:lang w:val="bg-BG"/>
    </w:rPr>
  </w:style>
  <w:style w:type="character" w:customStyle="1" w:styleId="ListParagraphChar">
    <w:name w:val="List Paragraph Char"/>
    <w:aliases w:val="Recommendatio Char,Párrafo de lista Char,Recommendation Char,OBC Bullet Char,Dot pt Char,F5 List Paragraph Char,No Spacing1 Char,List Paragraph Char Char Char Char,Indicator Text Char,Numbered Para 1 Char,Bullet 1 Char,L Char,3 Char"/>
    <w:link w:val="ListParagraph"/>
    <w:uiPriority w:val="34"/>
    <w:qFormat/>
    <w:locked/>
    <w:rsid w:val="00207C9E"/>
    <w:rPr>
      <w:rFonts w:ascii="Arial" w:hAnsi="Arial"/>
      <w:sz w:val="24"/>
      <w:lang w:val="bg-BG"/>
    </w:rPr>
  </w:style>
  <w:style w:type="character" w:customStyle="1" w:styleId="HeaderChar2Char">
    <w:name w:val="Header Char2 Char"/>
    <w:aliases w:val="Header Char1 Char1 Char,Header Char Char Char1 Char,Header Char1 Char Char Char Char,Header Char Char Char Char Char Char,Header Char Char1 Char,Header Char1 Char Char1 Char,Header Char Char Char Char1 Char"/>
    <w:basedOn w:val="DefaultParagraphFont"/>
    <w:rsid w:val="005F1F3A"/>
    <w:rPr>
      <w:rFonts w:ascii="Arial" w:hAnsi="Arial"/>
      <w:sz w:val="24"/>
      <w:lang w:val="en-AU" w:eastAsia="en-US"/>
    </w:rPr>
  </w:style>
  <w:style w:type="paragraph" w:customStyle="1" w:styleId="1">
    <w:name w:val="1"/>
    <w:basedOn w:val="Normal"/>
    <w:semiHidden/>
    <w:rsid w:val="008969AB"/>
    <w:pPr>
      <w:tabs>
        <w:tab w:val="left" w:pos="709"/>
      </w:tabs>
    </w:pPr>
    <w:rPr>
      <w:rFonts w:ascii="Futura Bk" w:hAnsi="Futura Bk"/>
      <w:lang w:val="pl-PL" w:eastAsia="pl-PL"/>
    </w:rPr>
  </w:style>
  <w:style w:type="paragraph" w:customStyle="1" w:styleId="CharCharCharChar1CharCharCharCharCharCharCharCharChar">
    <w:name w:val="Char Char Char Char1 Char Char Char Char Char Char Char Char Char"/>
    <w:basedOn w:val="Normal"/>
    <w:rsid w:val="008969AB"/>
    <w:pPr>
      <w:spacing w:after="160" w:line="240" w:lineRule="exact"/>
    </w:pPr>
    <w:rPr>
      <w:rFonts w:ascii="Tahoma" w:hAnsi="Tahoma"/>
      <w:sz w:val="20"/>
      <w:szCs w:val="20"/>
      <w:lang w:val="en-US"/>
    </w:rPr>
  </w:style>
  <w:style w:type="paragraph" w:customStyle="1" w:styleId="Char1CharCharChar">
    <w:name w:val="Char1 Char Char Char"/>
    <w:basedOn w:val="Normal"/>
    <w:semiHidden/>
    <w:rsid w:val="008969AB"/>
    <w:pPr>
      <w:tabs>
        <w:tab w:val="left" w:pos="709"/>
      </w:tabs>
    </w:pPr>
    <w:rPr>
      <w:rFonts w:ascii="Futura Bk" w:hAnsi="Futura Bk"/>
      <w:lang w:val="pl-PL" w:eastAsia="pl-PL"/>
    </w:rPr>
  </w:style>
  <w:style w:type="paragraph" w:customStyle="1" w:styleId="Char">
    <w:name w:val="Char"/>
    <w:basedOn w:val="Normal"/>
    <w:semiHidden/>
    <w:rsid w:val="008969AB"/>
    <w:pPr>
      <w:tabs>
        <w:tab w:val="left" w:pos="709"/>
      </w:tabs>
    </w:pPr>
    <w:rPr>
      <w:rFonts w:ascii="Futura Bk" w:hAnsi="Futura Bk"/>
      <w:lang w:val="pl-PL" w:eastAsia="pl-PL"/>
    </w:rPr>
  </w:style>
  <w:style w:type="paragraph" w:styleId="TOC1">
    <w:name w:val="toc 1"/>
    <w:basedOn w:val="Normal"/>
    <w:next w:val="Normal"/>
    <w:autoRedefine/>
    <w:semiHidden/>
    <w:rsid w:val="008969AB"/>
    <w:pPr>
      <w:tabs>
        <w:tab w:val="right" w:leader="dot" w:pos="9062"/>
      </w:tabs>
      <w:ind w:left="-180" w:hanging="360"/>
      <w:jc w:val="center"/>
    </w:pPr>
    <w:rPr>
      <w:b/>
      <w:noProof/>
      <w:lang w:val="en-US" w:eastAsia="bg-BG"/>
    </w:rPr>
  </w:style>
  <w:style w:type="character" w:styleId="Emphasis">
    <w:name w:val="Emphasis"/>
    <w:qFormat/>
    <w:rsid w:val="008969AB"/>
    <w:rPr>
      <w:i/>
      <w:iCs/>
    </w:rPr>
  </w:style>
  <w:style w:type="paragraph" w:customStyle="1" w:styleId="CharChar1CharCharCharCharCharChar">
    <w:name w:val="Char Char1 Char Char Char Char Char Char"/>
    <w:basedOn w:val="Normal"/>
    <w:semiHidden/>
    <w:rsid w:val="008969AB"/>
    <w:pPr>
      <w:tabs>
        <w:tab w:val="left" w:pos="709"/>
      </w:tabs>
    </w:pPr>
    <w:rPr>
      <w:rFonts w:ascii="Futura Bk" w:hAnsi="Futura Bk"/>
      <w:lang w:val="pl-PL" w:eastAsia="pl-PL"/>
    </w:rPr>
  </w:style>
  <w:style w:type="paragraph" w:styleId="Subtitle">
    <w:name w:val="Subtitle"/>
    <w:basedOn w:val="Normal"/>
    <w:next w:val="Normal"/>
    <w:link w:val="SubtitleChar"/>
    <w:qFormat/>
    <w:rsid w:val="008969AB"/>
    <w:pPr>
      <w:spacing w:after="60"/>
      <w:jc w:val="center"/>
      <w:outlineLvl w:val="1"/>
    </w:pPr>
    <w:rPr>
      <w:rFonts w:ascii="Cambria" w:hAnsi="Cambria"/>
      <w:lang w:eastAsia="bg-BG"/>
    </w:rPr>
  </w:style>
  <w:style w:type="character" w:customStyle="1" w:styleId="SubtitleChar">
    <w:name w:val="Subtitle Char"/>
    <w:basedOn w:val="DefaultParagraphFont"/>
    <w:link w:val="Subtitle"/>
    <w:rsid w:val="008969AB"/>
    <w:rPr>
      <w:rFonts w:ascii="Cambria" w:hAnsi="Cambria"/>
      <w:sz w:val="24"/>
      <w:szCs w:val="24"/>
      <w:lang w:val="bg-BG" w:eastAsia="bg-BG"/>
    </w:rPr>
  </w:style>
  <w:style w:type="character" w:customStyle="1" w:styleId="FooterChar">
    <w:name w:val="Footer Char"/>
    <w:link w:val="Footer"/>
    <w:uiPriority w:val="99"/>
    <w:rsid w:val="008969AB"/>
    <w:rPr>
      <w:sz w:val="24"/>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0982">
      <w:bodyDiv w:val="1"/>
      <w:marLeft w:val="0"/>
      <w:marRight w:val="0"/>
      <w:marTop w:val="0"/>
      <w:marBottom w:val="0"/>
      <w:divBdr>
        <w:top w:val="none" w:sz="0" w:space="0" w:color="auto"/>
        <w:left w:val="none" w:sz="0" w:space="0" w:color="auto"/>
        <w:bottom w:val="none" w:sz="0" w:space="0" w:color="auto"/>
        <w:right w:val="none" w:sz="0" w:space="0" w:color="auto"/>
      </w:divBdr>
    </w:div>
    <w:div w:id="146098401">
      <w:bodyDiv w:val="1"/>
      <w:marLeft w:val="0"/>
      <w:marRight w:val="0"/>
      <w:marTop w:val="0"/>
      <w:marBottom w:val="0"/>
      <w:divBdr>
        <w:top w:val="none" w:sz="0" w:space="0" w:color="auto"/>
        <w:left w:val="none" w:sz="0" w:space="0" w:color="auto"/>
        <w:bottom w:val="none" w:sz="0" w:space="0" w:color="auto"/>
        <w:right w:val="none" w:sz="0" w:space="0" w:color="auto"/>
      </w:divBdr>
    </w:div>
    <w:div w:id="272128182">
      <w:bodyDiv w:val="1"/>
      <w:marLeft w:val="0"/>
      <w:marRight w:val="0"/>
      <w:marTop w:val="0"/>
      <w:marBottom w:val="0"/>
      <w:divBdr>
        <w:top w:val="none" w:sz="0" w:space="0" w:color="auto"/>
        <w:left w:val="none" w:sz="0" w:space="0" w:color="auto"/>
        <w:bottom w:val="none" w:sz="0" w:space="0" w:color="auto"/>
        <w:right w:val="none" w:sz="0" w:space="0" w:color="auto"/>
      </w:divBdr>
    </w:div>
    <w:div w:id="488985167">
      <w:bodyDiv w:val="1"/>
      <w:marLeft w:val="0"/>
      <w:marRight w:val="0"/>
      <w:marTop w:val="0"/>
      <w:marBottom w:val="0"/>
      <w:divBdr>
        <w:top w:val="none" w:sz="0" w:space="0" w:color="auto"/>
        <w:left w:val="none" w:sz="0" w:space="0" w:color="auto"/>
        <w:bottom w:val="none" w:sz="0" w:space="0" w:color="auto"/>
        <w:right w:val="none" w:sz="0" w:space="0" w:color="auto"/>
      </w:divBdr>
    </w:div>
    <w:div w:id="490483776">
      <w:bodyDiv w:val="1"/>
      <w:marLeft w:val="0"/>
      <w:marRight w:val="0"/>
      <w:marTop w:val="0"/>
      <w:marBottom w:val="0"/>
      <w:divBdr>
        <w:top w:val="none" w:sz="0" w:space="0" w:color="auto"/>
        <w:left w:val="none" w:sz="0" w:space="0" w:color="auto"/>
        <w:bottom w:val="none" w:sz="0" w:space="0" w:color="auto"/>
        <w:right w:val="none" w:sz="0" w:space="0" w:color="auto"/>
      </w:divBdr>
    </w:div>
    <w:div w:id="503279387">
      <w:bodyDiv w:val="1"/>
      <w:marLeft w:val="0"/>
      <w:marRight w:val="0"/>
      <w:marTop w:val="0"/>
      <w:marBottom w:val="0"/>
      <w:divBdr>
        <w:top w:val="none" w:sz="0" w:space="0" w:color="auto"/>
        <w:left w:val="none" w:sz="0" w:space="0" w:color="auto"/>
        <w:bottom w:val="none" w:sz="0" w:space="0" w:color="auto"/>
        <w:right w:val="none" w:sz="0" w:space="0" w:color="auto"/>
      </w:divBdr>
    </w:div>
    <w:div w:id="567035072">
      <w:bodyDiv w:val="1"/>
      <w:marLeft w:val="0"/>
      <w:marRight w:val="0"/>
      <w:marTop w:val="0"/>
      <w:marBottom w:val="0"/>
      <w:divBdr>
        <w:top w:val="none" w:sz="0" w:space="0" w:color="auto"/>
        <w:left w:val="none" w:sz="0" w:space="0" w:color="auto"/>
        <w:bottom w:val="none" w:sz="0" w:space="0" w:color="auto"/>
        <w:right w:val="none" w:sz="0" w:space="0" w:color="auto"/>
      </w:divBdr>
      <w:divsChild>
        <w:div w:id="1294481459">
          <w:marLeft w:val="0"/>
          <w:marRight w:val="0"/>
          <w:marTop w:val="0"/>
          <w:marBottom w:val="0"/>
          <w:divBdr>
            <w:top w:val="none" w:sz="0" w:space="0" w:color="auto"/>
            <w:left w:val="none" w:sz="0" w:space="0" w:color="auto"/>
            <w:bottom w:val="none" w:sz="0" w:space="0" w:color="auto"/>
            <w:right w:val="none" w:sz="0" w:space="0" w:color="auto"/>
          </w:divBdr>
        </w:div>
      </w:divsChild>
    </w:div>
    <w:div w:id="669023205">
      <w:bodyDiv w:val="1"/>
      <w:marLeft w:val="0"/>
      <w:marRight w:val="0"/>
      <w:marTop w:val="0"/>
      <w:marBottom w:val="0"/>
      <w:divBdr>
        <w:top w:val="none" w:sz="0" w:space="0" w:color="auto"/>
        <w:left w:val="none" w:sz="0" w:space="0" w:color="auto"/>
        <w:bottom w:val="none" w:sz="0" w:space="0" w:color="auto"/>
        <w:right w:val="none" w:sz="0" w:space="0" w:color="auto"/>
      </w:divBdr>
    </w:div>
    <w:div w:id="721250821">
      <w:bodyDiv w:val="1"/>
      <w:marLeft w:val="0"/>
      <w:marRight w:val="0"/>
      <w:marTop w:val="0"/>
      <w:marBottom w:val="0"/>
      <w:divBdr>
        <w:top w:val="none" w:sz="0" w:space="0" w:color="auto"/>
        <w:left w:val="none" w:sz="0" w:space="0" w:color="auto"/>
        <w:bottom w:val="none" w:sz="0" w:space="0" w:color="auto"/>
        <w:right w:val="none" w:sz="0" w:space="0" w:color="auto"/>
      </w:divBdr>
    </w:div>
    <w:div w:id="769817748">
      <w:bodyDiv w:val="1"/>
      <w:marLeft w:val="0"/>
      <w:marRight w:val="0"/>
      <w:marTop w:val="0"/>
      <w:marBottom w:val="0"/>
      <w:divBdr>
        <w:top w:val="none" w:sz="0" w:space="0" w:color="auto"/>
        <w:left w:val="none" w:sz="0" w:space="0" w:color="auto"/>
        <w:bottom w:val="none" w:sz="0" w:space="0" w:color="auto"/>
        <w:right w:val="none" w:sz="0" w:space="0" w:color="auto"/>
      </w:divBdr>
    </w:div>
    <w:div w:id="1059985730">
      <w:bodyDiv w:val="1"/>
      <w:marLeft w:val="0"/>
      <w:marRight w:val="0"/>
      <w:marTop w:val="0"/>
      <w:marBottom w:val="0"/>
      <w:divBdr>
        <w:top w:val="none" w:sz="0" w:space="0" w:color="auto"/>
        <w:left w:val="none" w:sz="0" w:space="0" w:color="auto"/>
        <w:bottom w:val="none" w:sz="0" w:space="0" w:color="auto"/>
        <w:right w:val="none" w:sz="0" w:space="0" w:color="auto"/>
      </w:divBdr>
    </w:div>
    <w:div w:id="1151099104">
      <w:bodyDiv w:val="1"/>
      <w:marLeft w:val="0"/>
      <w:marRight w:val="0"/>
      <w:marTop w:val="0"/>
      <w:marBottom w:val="0"/>
      <w:divBdr>
        <w:top w:val="none" w:sz="0" w:space="0" w:color="auto"/>
        <w:left w:val="none" w:sz="0" w:space="0" w:color="auto"/>
        <w:bottom w:val="none" w:sz="0" w:space="0" w:color="auto"/>
        <w:right w:val="none" w:sz="0" w:space="0" w:color="auto"/>
      </w:divBdr>
    </w:div>
    <w:div w:id="1228757899">
      <w:bodyDiv w:val="1"/>
      <w:marLeft w:val="0"/>
      <w:marRight w:val="0"/>
      <w:marTop w:val="0"/>
      <w:marBottom w:val="0"/>
      <w:divBdr>
        <w:top w:val="none" w:sz="0" w:space="0" w:color="auto"/>
        <w:left w:val="none" w:sz="0" w:space="0" w:color="auto"/>
        <w:bottom w:val="none" w:sz="0" w:space="0" w:color="auto"/>
        <w:right w:val="none" w:sz="0" w:space="0" w:color="auto"/>
      </w:divBdr>
      <w:divsChild>
        <w:div w:id="1764762949">
          <w:marLeft w:val="0"/>
          <w:marRight w:val="0"/>
          <w:marTop w:val="0"/>
          <w:marBottom w:val="0"/>
          <w:divBdr>
            <w:top w:val="none" w:sz="0" w:space="0" w:color="auto"/>
            <w:left w:val="none" w:sz="0" w:space="0" w:color="auto"/>
            <w:bottom w:val="none" w:sz="0" w:space="0" w:color="auto"/>
            <w:right w:val="none" w:sz="0" w:space="0" w:color="auto"/>
          </w:divBdr>
          <w:divsChild>
            <w:div w:id="1689597285">
              <w:marLeft w:val="0"/>
              <w:marRight w:val="0"/>
              <w:marTop w:val="0"/>
              <w:marBottom w:val="0"/>
              <w:divBdr>
                <w:top w:val="none" w:sz="0" w:space="0" w:color="auto"/>
                <w:left w:val="none" w:sz="0" w:space="0" w:color="auto"/>
                <w:bottom w:val="none" w:sz="0" w:space="0" w:color="auto"/>
                <w:right w:val="none" w:sz="0" w:space="0" w:color="auto"/>
              </w:divBdr>
              <w:divsChild>
                <w:div w:id="754782278">
                  <w:marLeft w:val="0"/>
                  <w:marRight w:val="0"/>
                  <w:marTop w:val="0"/>
                  <w:marBottom w:val="0"/>
                  <w:divBdr>
                    <w:top w:val="none" w:sz="0" w:space="0" w:color="auto"/>
                    <w:left w:val="none" w:sz="0" w:space="0" w:color="auto"/>
                    <w:bottom w:val="none" w:sz="0" w:space="0" w:color="auto"/>
                    <w:right w:val="none" w:sz="0" w:space="0" w:color="auto"/>
                  </w:divBdr>
                  <w:divsChild>
                    <w:div w:id="209709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555913">
      <w:bodyDiv w:val="1"/>
      <w:marLeft w:val="0"/>
      <w:marRight w:val="0"/>
      <w:marTop w:val="0"/>
      <w:marBottom w:val="0"/>
      <w:divBdr>
        <w:top w:val="none" w:sz="0" w:space="0" w:color="auto"/>
        <w:left w:val="none" w:sz="0" w:space="0" w:color="auto"/>
        <w:bottom w:val="none" w:sz="0" w:space="0" w:color="auto"/>
        <w:right w:val="none" w:sz="0" w:space="0" w:color="auto"/>
      </w:divBdr>
      <w:divsChild>
        <w:div w:id="1132287915">
          <w:marLeft w:val="240"/>
          <w:marRight w:val="240"/>
          <w:marTop w:val="0"/>
          <w:marBottom w:val="0"/>
          <w:divBdr>
            <w:top w:val="none" w:sz="0" w:space="0" w:color="auto"/>
            <w:left w:val="none" w:sz="0" w:space="0" w:color="auto"/>
            <w:bottom w:val="none" w:sz="0" w:space="0" w:color="auto"/>
            <w:right w:val="none" w:sz="0" w:space="0" w:color="auto"/>
          </w:divBdr>
          <w:divsChild>
            <w:div w:id="2001541574">
              <w:marLeft w:val="0"/>
              <w:marRight w:val="0"/>
              <w:marTop w:val="0"/>
              <w:marBottom w:val="120"/>
              <w:divBdr>
                <w:top w:val="none" w:sz="0" w:space="0" w:color="auto"/>
                <w:left w:val="none" w:sz="0" w:space="0" w:color="auto"/>
                <w:bottom w:val="single" w:sz="6" w:space="0" w:color="A7A9AC"/>
                <w:right w:val="none" w:sz="0" w:space="0" w:color="auto"/>
              </w:divBdr>
            </w:div>
          </w:divsChild>
        </w:div>
      </w:divsChild>
    </w:div>
    <w:div w:id="1334607600">
      <w:bodyDiv w:val="1"/>
      <w:marLeft w:val="0"/>
      <w:marRight w:val="0"/>
      <w:marTop w:val="0"/>
      <w:marBottom w:val="0"/>
      <w:divBdr>
        <w:top w:val="none" w:sz="0" w:space="0" w:color="auto"/>
        <w:left w:val="none" w:sz="0" w:space="0" w:color="auto"/>
        <w:bottom w:val="none" w:sz="0" w:space="0" w:color="auto"/>
        <w:right w:val="none" w:sz="0" w:space="0" w:color="auto"/>
      </w:divBdr>
    </w:div>
    <w:div w:id="1449738080">
      <w:bodyDiv w:val="1"/>
      <w:marLeft w:val="0"/>
      <w:marRight w:val="0"/>
      <w:marTop w:val="0"/>
      <w:marBottom w:val="0"/>
      <w:divBdr>
        <w:top w:val="none" w:sz="0" w:space="0" w:color="auto"/>
        <w:left w:val="none" w:sz="0" w:space="0" w:color="auto"/>
        <w:bottom w:val="none" w:sz="0" w:space="0" w:color="auto"/>
        <w:right w:val="none" w:sz="0" w:space="0" w:color="auto"/>
      </w:divBdr>
    </w:div>
    <w:div w:id="1465393858">
      <w:bodyDiv w:val="1"/>
      <w:marLeft w:val="0"/>
      <w:marRight w:val="0"/>
      <w:marTop w:val="0"/>
      <w:marBottom w:val="0"/>
      <w:divBdr>
        <w:top w:val="none" w:sz="0" w:space="0" w:color="auto"/>
        <w:left w:val="none" w:sz="0" w:space="0" w:color="auto"/>
        <w:bottom w:val="none" w:sz="0" w:space="0" w:color="auto"/>
        <w:right w:val="none" w:sz="0" w:space="0" w:color="auto"/>
      </w:divBdr>
    </w:div>
    <w:div w:id="1523275988">
      <w:bodyDiv w:val="1"/>
      <w:marLeft w:val="0"/>
      <w:marRight w:val="0"/>
      <w:marTop w:val="0"/>
      <w:marBottom w:val="0"/>
      <w:divBdr>
        <w:top w:val="none" w:sz="0" w:space="0" w:color="auto"/>
        <w:left w:val="none" w:sz="0" w:space="0" w:color="auto"/>
        <w:bottom w:val="none" w:sz="0" w:space="0" w:color="auto"/>
        <w:right w:val="none" w:sz="0" w:space="0" w:color="auto"/>
      </w:divBdr>
    </w:div>
    <w:div w:id="1640960128">
      <w:bodyDiv w:val="1"/>
      <w:marLeft w:val="0"/>
      <w:marRight w:val="0"/>
      <w:marTop w:val="0"/>
      <w:marBottom w:val="0"/>
      <w:divBdr>
        <w:top w:val="none" w:sz="0" w:space="0" w:color="auto"/>
        <w:left w:val="none" w:sz="0" w:space="0" w:color="auto"/>
        <w:bottom w:val="none" w:sz="0" w:space="0" w:color="auto"/>
        <w:right w:val="none" w:sz="0" w:space="0" w:color="auto"/>
      </w:divBdr>
    </w:div>
    <w:div w:id="1736472099">
      <w:bodyDiv w:val="1"/>
      <w:marLeft w:val="0"/>
      <w:marRight w:val="0"/>
      <w:marTop w:val="0"/>
      <w:marBottom w:val="0"/>
      <w:divBdr>
        <w:top w:val="none" w:sz="0" w:space="0" w:color="auto"/>
        <w:left w:val="none" w:sz="0" w:space="0" w:color="auto"/>
        <w:bottom w:val="none" w:sz="0" w:space="0" w:color="auto"/>
        <w:right w:val="none" w:sz="0" w:space="0" w:color="auto"/>
      </w:divBdr>
    </w:div>
    <w:div w:id="1752582637">
      <w:bodyDiv w:val="1"/>
      <w:marLeft w:val="0"/>
      <w:marRight w:val="0"/>
      <w:marTop w:val="0"/>
      <w:marBottom w:val="0"/>
      <w:divBdr>
        <w:top w:val="none" w:sz="0" w:space="0" w:color="auto"/>
        <w:left w:val="none" w:sz="0" w:space="0" w:color="auto"/>
        <w:bottom w:val="none" w:sz="0" w:space="0" w:color="auto"/>
        <w:right w:val="none" w:sz="0" w:space="0" w:color="auto"/>
      </w:divBdr>
    </w:div>
    <w:div w:id="1821458686">
      <w:bodyDiv w:val="1"/>
      <w:marLeft w:val="0"/>
      <w:marRight w:val="0"/>
      <w:marTop w:val="0"/>
      <w:marBottom w:val="0"/>
      <w:divBdr>
        <w:top w:val="none" w:sz="0" w:space="0" w:color="auto"/>
        <w:left w:val="none" w:sz="0" w:space="0" w:color="auto"/>
        <w:bottom w:val="none" w:sz="0" w:space="0" w:color="auto"/>
        <w:right w:val="none" w:sz="0" w:space="0" w:color="auto"/>
      </w:divBdr>
    </w:div>
    <w:div w:id="1929189253">
      <w:bodyDiv w:val="1"/>
      <w:marLeft w:val="0"/>
      <w:marRight w:val="0"/>
      <w:marTop w:val="0"/>
      <w:marBottom w:val="0"/>
      <w:divBdr>
        <w:top w:val="none" w:sz="0" w:space="0" w:color="auto"/>
        <w:left w:val="none" w:sz="0" w:space="0" w:color="auto"/>
        <w:bottom w:val="none" w:sz="0" w:space="0" w:color="auto"/>
        <w:right w:val="none" w:sz="0" w:space="0" w:color="auto"/>
      </w:divBdr>
    </w:div>
    <w:div w:id="2005039560">
      <w:bodyDiv w:val="1"/>
      <w:marLeft w:val="0"/>
      <w:marRight w:val="0"/>
      <w:marTop w:val="0"/>
      <w:marBottom w:val="0"/>
      <w:divBdr>
        <w:top w:val="none" w:sz="0" w:space="0" w:color="auto"/>
        <w:left w:val="none" w:sz="0" w:space="0" w:color="auto"/>
        <w:bottom w:val="none" w:sz="0" w:space="0" w:color="auto"/>
        <w:right w:val="none" w:sz="0" w:space="0" w:color="auto"/>
      </w:divBdr>
    </w:div>
    <w:div w:id="2062440967">
      <w:bodyDiv w:val="1"/>
      <w:marLeft w:val="0"/>
      <w:marRight w:val="0"/>
      <w:marTop w:val="0"/>
      <w:marBottom w:val="0"/>
      <w:divBdr>
        <w:top w:val="none" w:sz="0" w:space="0" w:color="auto"/>
        <w:left w:val="none" w:sz="0" w:space="0" w:color="auto"/>
        <w:bottom w:val="none" w:sz="0" w:space="0" w:color="auto"/>
        <w:right w:val="none" w:sz="0" w:space="0" w:color="auto"/>
      </w:divBdr>
    </w:div>
    <w:div w:id="2072146161">
      <w:bodyDiv w:val="1"/>
      <w:marLeft w:val="0"/>
      <w:marRight w:val="0"/>
      <w:marTop w:val="0"/>
      <w:marBottom w:val="0"/>
      <w:divBdr>
        <w:top w:val="none" w:sz="0" w:space="0" w:color="auto"/>
        <w:left w:val="none" w:sz="0" w:space="0" w:color="auto"/>
        <w:bottom w:val="none" w:sz="0" w:space="0" w:color="auto"/>
        <w:right w:val="none" w:sz="0" w:space="0" w:color="auto"/>
      </w:divBdr>
    </w:div>
    <w:div w:id="2078552652">
      <w:bodyDiv w:val="1"/>
      <w:marLeft w:val="0"/>
      <w:marRight w:val="0"/>
      <w:marTop w:val="0"/>
      <w:marBottom w:val="0"/>
      <w:divBdr>
        <w:top w:val="none" w:sz="0" w:space="0" w:color="auto"/>
        <w:left w:val="none" w:sz="0" w:space="0" w:color="auto"/>
        <w:bottom w:val="none" w:sz="0" w:space="0" w:color="auto"/>
        <w:right w:val="none" w:sz="0" w:space="0" w:color="auto"/>
      </w:divBdr>
      <w:divsChild>
        <w:div w:id="1512406735">
          <w:marLeft w:val="0"/>
          <w:marRight w:val="0"/>
          <w:marTop w:val="0"/>
          <w:marBottom w:val="0"/>
          <w:divBdr>
            <w:top w:val="none" w:sz="0" w:space="0" w:color="auto"/>
            <w:left w:val="none" w:sz="0" w:space="0" w:color="auto"/>
            <w:bottom w:val="none" w:sz="0" w:space="0" w:color="auto"/>
            <w:right w:val="none" w:sz="0" w:space="0" w:color="auto"/>
          </w:divBdr>
          <w:divsChild>
            <w:div w:id="1991667719">
              <w:marLeft w:val="0"/>
              <w:marRight w:val="0"/>
              <w:marTop w:val="0"/>
              <w:marBottom w:val="0"/>
              <w:divBdr>
                <w:top w:val="none" w:sz="0" w:space="0" w:color="auto"/>
                <w:left w:val="none" w:sz="0" w:space="0" w:color="auto"/>
                <w:bottom w:val="none" w:sz="0" w:space="0" w:color="auto"/>
                <w:right w:val="none" w:sz="0" w:space="0" w:color="auto"/>
              </w:divBdr>
              <w:divsChild>
                <w:div w:id="1413895954">
                  <w:marLeft w:val="0"/>
                  <w:marRight w:val="0"/>
                  <w:marTop w:val="0"/>
                  <w:marBottom w:val="0"/>
                  <w:divBdr>
                    <w:top w:val="none" w:sz="0" w:space="0" w:color="auto"/>
                    <w:left w:val="none" w:sz="0" w:space="0" w:color="auto"/>
                    <w:bottom w:val="none" w:sz="0" w:space="0" w:color="auto"/>
                    <w:right w:val="none" w:sz="0" w:space="0" w:color="auto"/>
                  </w:divBdr>
                  <w:divsChild>
                    <w:div w:id="87288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0" i="0" u="none" strike="noStrike" baseline="0">
                <a:solidFill>
                  <a:srgbClr val="000000"/>
                </a:solidFill>
                <a:latin typeface="Arial"/>
                <a:ea typeface="Arial"/>
                <a:cs typeface="Arial"/>
              </a:defRPr>
            </a:pPr>
            <a:r>
              <a:rPr lang="en-US" sz="1000" b="1" i="0" u="none" strike="noStrike" baseline="0">
                <a:solidFill>
                  <a:srgbClr val="000000"/>
                </a:solidFill>
                <a:latin typeface="Times New Roman"/>
                <a:cs typeface="Times New Roman"/>
              </a:rPr>
              <a:t>Приходи</a:t>
            </a:r>
            <a:r>
              <a:rPr lang="bg-BG" sz="1000" b="1" i="0" u="none" strike="noStrike" baseline="0">
                <a:solidFill>
                  <a:srgbClr val="000000"/>
                </a:solidFill>
                <a:latin typeface="Times New Roman"/>
                <a:cs typeface="Times New Roman"/>
              </a:rPr>
              <a:t>, </a:t>
            </a:r>
            <a:r>
              <a:rPr lang="en-US" sz="1000" b="1" i="0" u="none" strike="noStrike" baseline="0">
                <a:solidFill>
                  <a:srgbClr val="000000"/>
                </a:solidFill>
                <a:latin typeface="Times New Roman"/>
                <a:cs typeface="Times New Roman"/>
              </a:rPr>
              <a:t>помощи </a:t>
            </a:r>
            <a:r>
              <a:rPr lang="bg-BG" sz="1000" b="1" i="0" u="none" strike="noStrike" baseline="0">
                <a:solidFill>
                  <a:srgbClr val="000000"/>
                </a:solidFill>
                <a:latin typeface="Times New Roman"/>
                <a:cs typeface="Times New Roman"/>
              </a:rPr>
              <a:t>и дарения </a:t>
            </a:r>
            <a:r>
              <a:rPr lang="en-US" sz="1000" b="1" i="0" u="none" strike="noStrike" baseline="0">
                <a:solidFill>
                  <a:srgbClr val="000000"/>
                </a:solidFill>
                <a:latin typeface="Times New Roman"/>
                <a:cs typeface="Times New Roman"/>
              </a:rPr>
              <a:t>по консолидираната фискална програма</a:t>
            </a:r>
          </a:p>
          <a:p>
            <a:pPr>
              <a:defRPr sz="1200" b="0" i="0" u="none" strike="noStrike" baseline="0">
                <a:solidFill>
                  <a:srgbClr val="000000"/>
                </a:solidFill>
                <a:latin typeface="Arial"/>
                <a:ea typeface="Arial"/>
                <a:cs typeface="Arial"/>
              </a:defRPr>
            </a:pPr>
            <a:r>
              <a:rPr lang="en-US" sz="1000" b="1" i="0" u="none" strike="noStrike" baseline="0">
                <a:solidFill>
                  <a:srgbClr val="000000"/>
                </a:solidFill>
                <a:latin typeface="Times New Roman"/>
                <a:cs typeface="Times New Roman"/>
              </a:rPr>
              <a:t> </a:t>
            </a:r>
            <a:r>
              <a:rPr lang="bg-BG" sz="1000" b="1" i="0" u="none" strike="noStrike" baseline="0">
                <a:solidFill>
                  <a:srgbClr val="000000"/>
                </a:solidFill>
                <a:latin typeface="Times New Roman"/>
                <a:cs typeface="Times New Roman"/>
              </a:rPr>
              <a:t>към </a:t>
            </a:r>
            <a:r>
              <a:rPr lang="bg-BG" sz="1000" b="1" i="0" u="none" strike="noStrike" kern="1200" baseline="0">
                <a:solidFill>
                  <a:srgbClr val="000000"/>
                </a:solidFill>
                <a:latin typeface="Times New Roman"/>
                <a:cs typeface="Times New Roman"/>
              </a:rPr>
              <a:t>март </a:t>
            </a:r>
            <a:r>
              <a:rPr lang="bg-BG" sz="1000" b="1" i="0" u="none" strike="noStrike" baseline="0">
                <a:solidFill>
                  <a:srgbClr val="000000"/>
                </a:solidFill>
                <a:latin typeface="Times New Roman"/>
                <a:cs typeface="Times New Roman"/>
              </a:rPr>
              <a:t> </a:t>
            </a:r>
            <a:r>
              <a:rPr lang="bg-BG" sz="1000" b="1" i="0" u="none" strike="noStrike" kern="1200" baseline="0">
                <a:solidFill>
                  <a:srgbClr val="000000"/>
                </a:solidFill>
                <a:latin typeface="Times New Roman"/>
                <a:cs typeface="Times New Roman"/>
              </a:rPr>
              <a:t>2024</a:t>
            </a:r>
            <a:r>
              <a:rPr lang="bg-BG" sz="1000" b="1" i="0" u="none" strike="noStrike" baseline="0">
                <a:solidFill>
                  <a:srgbClr val="000000"/>
                </a:solidFill>
                <a:latin typeface="Times New Roman"/>
                <a:cs typeface="Times New Roman"/>
              </a:rPr>
              <a:t> </a:t>
            </a:r>
            <a:r>
              <a:rPr lang="en-US" sz="1000" b="1" i="0" u="none" strike="noStrike" baseline="0">
                <a:solidFill>
                  <a:srgbClr val="000000"/>
                </a:solidFill>
                <a:latin typeface="Times New Roman"/>
                <a:cs typeface="Times New Roman"/>
              </a:rPr>
              <a:t>г. и </a:t>
            </a:r>
            <a:r>
              <a:rPr lang="en-US" sz="1000" b="1" i="0" u="none" strike="noStrike" kern="1200" baseline="0">
                <a:solidFill>
                  <a:srgbClr val="000000"/>
                </a:solidFill>
                <a:latin typeface="Times New Roman"/>
                <a:cs typeface="Times New Roman"/>
              </a:rPr>
              <a:t>202</a:t>
            </a:r>
            <a:r>
              <a:rPr lang="bg-BG" sz="1000" b="1" i="0" u="none" strike="noStrike" kern="1200" baseline="0">
                <a:solidFill>
                  <a:srgbClr val="000000"/>
                </a:solidFill>
                <a:latin typeface="Times New Roman"/>
                <a:cs typeface="Times New Roman"/>
              </a:rPr>
              <a:t>5</a:t>
            </a:r>
            <a:r>
              <a:rPr lang="en-US" sz="1000" b="1" i="0" u="none" strike="noStrike" baseline="0">
                <a:solidFill>
                  <a:srgbClr val="000000"/>
                </a:solidFill>
                <a:latin typeface="Times New Roman"/>
                <a:cs typeface="Times New Roman"/>
              </a:rPr>
              <a:t> г.</a:t>
            </a:r>
          </a:p>
        </c:rich>
      </c:tx>
      <c:layout>
        <c:manualLayout>
          <c:xMode val="edge"/>
          <c:yMode val="edge"/>
          <c:x val="0.20118264226098204"/>
          <c:y val="1.05446002923104E-3"/>
        </c:manualLayout>
      </c:layout>
      <c:overlay val="0"/>
      <c:spPr>
        <a:noFill/>
        <a:ln w="25398">
          <a:noFill/>
        </a:ln>
      </c:spPr>
    </c:title>
    <c:autoTitleDeleted val="0"/>
    <c:view3D>
      <c:rotX val="24"/>
      <c:rotY val="40"/>
      <c:depthPercent val="100"/>
      <c:rAngAx val="1"/>
    </c:view3D>
    <c:floor>
      <c:thickness val="0"/>
      <c:spPr>
        <a:solidFill>
          <a:srgbClr val="C0C0C0"/>
        </a:solidFill>
        <a:ln w="3175">
          <a:solidFill>
            <a:srgbClr val="000000"/>
          </a:solidFill>
          <a:prstDash val="solid"/>
        </a:ln>
      </c:spPr>
    </c:floor>
    <c:sideWall>
      <c:thickness val="0"/>
      <c:spPr>
        <a:gradFill rotWithShape="0">
          <a:gsLst>
            <a:gs pos="0">
              <a:schemeClr val="bg1"/>
            </a:gs>
            <a:gs pos="100000">
              <a:srgbClr val="000000">
                <a:gamma/>
                <a:shade val="46275"/>
                <a:invGamma/>
              </a:srgbClr>
            </a:gs>
          </a:gsLst>
          <a:lin ang="5400000" scaled="1"/>
        </a:gradFill>
        <a:ln w="3175">
          <a:solidFill>
            <a:srgbClr val="FFFFFF"/>
          </a:solidFill>
          <a:prstDash val="solid"/>
        </a:ln>
      </c:spPr>
    </c:sideWall>
    <c:backWall>
      <c:thickness val="0"/>
      <c:spPr>
        <a:gradFill rotWithShape="0">
          <a:gsLst>
            <a:gs pos="0">
              <a:schemeClr val="bg1"/>
            </a:gs>
            <a:gs pos="100000">
              <a:srgbClr val="000000">
                <a:gamma/>
                <a:shade val="46275"/>
                <a:invGamma/>
              </a:srgbClr>
            </a:gs>
          </a:gsLst>
          <a:lin ang="5400000" scaled="1"/>
        </a:gradFill>
        <a:ln w="3175">
          <a:solidFill>
            <a:srgbClr val="FFFFFF"/>
          </a:solidFill>
          <a:prstDash val="solid"/>
        </a:ln>
      </c:spPr>
    </c:backWall>
    <c:plotArea>
      <c:layout>
        <c:manualLayout>
          <c:layoutTarget val="inner"/>
          <c:xMode val="edge"/>
          <c:yMode val="edge"/>
          <c:x val="0.25095340355182877"/>
          <c:y val="0.14577781142741791"/>
          <c:w val="0.69015203420858928"/>
          <c:h val="0.70997457994915991"/>
        </c:manualLayout>
      </c:layout>
      <c:bar3DChart>
        <c:barDir val="bar"/>
        <c:grouping val="clustered"/>
        <c:varyColors val="0"/>
        <c:ser>
          <c:idx val="1"/>
          <c:order val="0"/>
          <c:tx>
            <c:strRef>
              <c:f>data!$C$1</c:f>
              <c:strCache>
                <c:ptCount val="1"/>
                <c:pt idx="0">
                  <c:v> март 2025 г.</c:v>
                </c:pt>
              </c:strCache>
            </c:strRef>
          </c:tx>
          <c:spPr>
            <a:pattFill prst="pct80">
              <a:fgClr>
                <a:srgbClr val="C0C0C0"/>
              </a:fgClr>
              <a:bgClr>
                <a:srgbClr val="993366"/>
              </a:bgClr>
            </a:pattFill>
            <a:ln w="12699">
              <a:solidFill>
                <a:srgbClr val="000000"/>
              </a:solidFill>
              <a:prstDash val="solid"/>
            </a:ln>
          </c:spPr>
          <c:invertIfNegative val="0"/>
          <c:dLbls>
            <c:dLbl>
              <c:idx val="0"/>
              <c:layout>
                <c:manualLayout>
                  <c:x val="4.0443808160343575E-3"/>
                  <c:y val="3.5398736495147447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7F35-4849-8115-667F0287EA1D}"/>
                </c:ext>
              </c:extLst>
            </c:dLbl>
            <c:dLbl>
              <c:idx val="1"/>
              <c:layout>
                <c:manualLayout>
                  <c:x val="4.5585447652376834E-3"/>
                  <c:y val="-1.14581425868278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7F35-4849-8115-667F0287EA1D}"/>
                </c:ext>
              </c:extLst>
            </c:dLbl>
            <c:dLbl>
              <c:idx val="2"/>
              <c:layout>
                <c:manualLayout>
                  <c:x val="1.2604221002343161E-2"/>
                  <c:y val="2.6671666041745297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7F35-4849-8115-667F0287EA1D}"/>
                </c:ext>
              </c:extLst>
            </c:dLbl>
            <c:dLbl>
              <c:idx val="3"/>
              <c:layout>
                <c:manualLayout>
                  <c:x val="1.2552224347351025E-2"/>
                  <c:y val="2.8071491063617051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7F35-4849-8115-667F0287EA1D}"/>
                </c:ext>
              </c:extLst>
            </c:dLbl>
            <c:dLbl>
              <c:idx val="4"/>
              <c:layout>
                <c:manualLayout>
                  <c:x val="2.3125925238610349E-2"/>
                  <c:y val="-1.80858924183657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F35-4849-8115-667F0287EA1D}"/>
                </c:ext>
              </c:extLst>
            </c:dLbl>
            <c:dLbl>
              <c:idx val="5"/>
              <c:layout>
                <c:manualLayout>
                  <c:xMode val="edge"/>
                  <c:yMode val="edge"/>
                  <c:x val="0.86038349087668353"/>
                  <c:y val="1.3043502490371705E-2"/>
                </c:manualLayout>
              </c:layout>
              <c:numFmt formatCode="#,##0.0" sourceLinked="0"/>
              <c:spPr>
                <a:solidFill>
                  <a:srgbClr val="FFFFFF"/>
                </a:solidFill>
                <a:ln w="25398">
                  <a:noFill/>
                </a:ln>
              </c:spPr>
              <c:txPr>
                <a:bodyPr/>
                <a:lstStyle/>
                <a:p>
                  <a:pPr>
                    <a:defRPr sz="800" b="0"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F35-4849-8115-667F0287EA1D}"/>
                </c:ext>
              </c:extLst>
            </c:dLbl>
            <c:dLbl>
              <c:idx val="6"/>
              <c:layout>
                <c:manualLayout>
                  <c:xMode val="edge"/>
                  <c:yMode val="edge"/>
                  <c:x val="0.86038349087668353"/>
                  <c:y val="1.3043502490371705E-2"/>
                </c:manualLayout>
              </c:layout>
              <c:numFmt formatCode="#,##0.0" sourceLinked="0"/>
              <c:spPr>
                <a:solidFill>
                  <a:srgbClr val="FFFFFF"/>
                </a:solidFill>
                <a:ln w="25398">
                  <a:noFill/>
                </a:ln>
              </c:spPr>
              <c:txPr>
                <a:bodyPr/>
                <a:lstStyle/>
                <a:p>
                  <a:pPr>
                    <a:defRPr sz="800" b="0"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F35-4849-8115-667F0287EA1D}"/>
                </c:ext>
              </c:extLst>
            </c:dLbl>
            <c:numFmt formatCode="#,##0.0" sourceLinked="0"/>
            <c:spPr>
              <a:solidFill>
                <a:srgbClr val="FFFFFF"/>
              </a:solidFill>
              <a:ln w="25398">
                <a:noFill/>
              </a:ln>
            </c:spPr>
            <c:txPr>
              <a:bodyPr/>
              <a:lstStyle/>
              <a:p>
                <a:pPr>
                  <a:defRPr sz="800" b="1"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data!$A$3:$A$6</c:f>
              <c:strCache>
                <c:ptCount val="4"/>
                <c:pt idx="0">
                  <c:v>Общо приходи, помощи и дарения</c:v>
                </c:pt>
                <c:pt idx="1">
                  <c:v>Данъчни приходи</c:v>
                </c:pt>
                <c:pt idx="2">
                  <c:v>Неданъчни приходи</c:v>
                </c:pt>
                <c:pt idx="3">
                  <c:v>Помощи и дарения</c:v>
                </c:pt>
              </c:strCache>
            </c:strRef>
          </c:cat>
          <c:val>
            <c:numRef>
              <c:f>data!$C$3:$C$6</c:f>
              <c:numCache>
                <c:formatCode>#,#00.0</c:formatCode>
                <c:ptCount val="4"/>
                <c:pt idx="0">
                  <c:v>16834.313849000002</c:v>
                </c:pt>
                <c:pt idx="1">
                  <c:v>13625.470403000001</c:v>
                </c:pt>
                <c:pt idx="2">
                  <c:v>2458.9164430000001</c:v>
                </c:pt>
                <c:pt idx="3">
                  <c:v>749.92700300000001</c:v>
                </c:pt>
              </c:numCache>
            </c:numRef>
          </c:val>
          <c:extLst>
            <c:ext xmlns:c16="http://schemas.microsoft.com/office/drawing/2014/chart" uri="{C3380CC4-5D6E-409C-BE32-E72D297353CC}">
              <c16:uniqueId val="{00000007-7F35-4849-8115-667F0287EA1D}"/>
            </c:ext>
          </c:extLst>
        </c:ser>
        <c:ser>
          <c:idx val="0"/>
          <c:order val="1"/>
          <c:tx>
            <c:strRef>
              <c:f>data!$B$1</c:f>
              <c:strCache>
                <c:ptCount val="1"/>
                <c:pt idx="0">
                  <c:v> март 2024 г.</c:v>
                </c:pt>
              </c:strCache>
            </c:strRef>
          </c:tx>
          <c:spPr>
            <a:pattFill prst="pct80">
              <a:fgClr>
                <a:srgbClr val="000000"/>
              </a:fgClr>
              <a:bgClr>
                <a:sysClr val="window" lastClr="FFFFFF"/>
              </a:bgClr>
            </a:pattFill>
            <a:ln w="12699">
              <a:solidFill>
                <a:srgbClr val="000000"/>
              </a:solidFill>
              <a:prstDash val="solid"/>
            </a:ln>
          </c:spPr>
          <c:invertIfNegative val="0"/>
          <c:dLbls>
            <c:dLbl>
              <c:idx val="0"/>
              <c:layout>
                <c:manualLayout>
                  <c:x val="1.2627753917124E-2"/>
                  <c:y val="-1.998680034181822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7F35-4849-8115-667F0287EA1D}"/>
                </c:ext>
              </c:extLst>
            </c:dLbl>
            <c:dLbl>
              <c:idx val="1"/>
              <c:layout>
                <c:manualLayout>
                  <c:x val="1.1606385376070541E-2"/>
                  <c:y val="-3.353590612220009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7F35-4849-8115-667F0287EA1D}"/>
                </c:ext>
              </c:extLst>
            </c:dLbl>
            <c:dLbl>
              <c:idx val="2"/>
              <c:layout>
                <c:manualLayout>
                  <c:x val="9.1593598118849696E-3"/>
                  <c:y val="-3.137072151695360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7F35-4849-8115-667F0287EA1D}"/>
                </c:ext>
              </c:extLst>
            </c:dLbl>
            <c:dLbl>
              <c:idx val="3"/>
              <c:layout>
                <c:manualLayout>
                  <c:x val="1.4735121117020421E-2"/>
                  <c:y val="-4.9920118680817065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7F35-4849-8115-667F0287EA1D}"/>
                </c:ext>
              </c:extLst>
            </c:dLbl>
            <c:dLbl>
              <c:idx val="4"/>
              <c:layout>
                <c:manualLayout>
                  <c:x val="8.090605209302942E-3"/>
                  <c:y val="-1.23665134476867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F35-4849-8115-667F0287EA1D}"/>
                </c:ext>
              </c:extLst>
            </c:dLbl>
            <c:dLbl>
              <c:idx val="5"/>
              <c:layout>
                <c:manualLayout>
                  <c:xMode val="edge"/>
                  <c:yMode val="edge"/>
                  <c:x val="0.86038349087668353"/>
                  <c:y val="1.3043502490371705E-2"/>
                </c:manualLayout>
              </c:layout>
              <c:numFmt formatCode="#,##0.0" sourceLinked="0"/>
              <c:spPr>
                <a:solidFill>
                  <a:srgbClr val="FFFFFF"/>
                </a:solidFill>
                <a:ln w="25398">
                  <a:noFill/>
                </a:ln>
              </c:spPr>
              <c:txPr>
                <a:bodyPr/>
                <a:lstStyle/>
                <a:p>
                  <a:pPr>
                    <a:defRPr sz="800" b="0"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F35-4849-8115-667F0287EA1D}"/>
                </c:ext>
              </c:extLst>
            </c:dLbl>
            <c:dLbl>
              <c:idx val="6"/>
              <c:layout>
                <c:manualLayout>
                  <c:xMode val="edge"/>
                  <c:yMode val="edge"/>
                  <c:x val="7.1599180932872524E-3"/>
                  <c:y val="1.3043502490371705E-2"/>
                </c:manualLayout>
              </c:layout>
              <c:numFmt formatCode="#,##0.0" sourceLinked="0"/>
              <c:spPr>
                <a:solidFill>
                  <a:srgbClr val="FFFFFF"/>
                </a:solidFill>
                <a:ln w="25398">
                  <a:noFill/>
                </a:ln>
              </c:spPr>
              <c:txPr>
                <a:bodyPr/>
                <a:lstStyle/>
                <a:p>
                  <a:pPr>
                    <a:defRPr sz="800" b="0"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F35-4849-8115-667F0287EA1D}"/>
                </c:ext>
              </c:extLst>
            </c:dLbl>
            <c:numFmt formatCode="#,##0.0" sourceLinked="0"/>
            <c:spPr>
              <a:solidFill>
                <a:srgbClr val="FFFFFF"/>
              </a:solidFill>
              <a:ln w="25398">
                <a:noFill/>
              </a:ln>
            </c:spPr>
            <c:txPr>
              <a:bodyPr/>
              <a:lstStyle/>
              <a:p>
                <a:pPr>
                  <a:defRPr sz="800" b="1"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data!$A$3:$A$6</c:f>
              <c:strCache>
                <c:ptCount val="4"/>
                <c:pt idx="0">
                  <c:v>Общо приходи, помощи и дарения</c:v>
                </c:pt>
                <c:pt idx="1">
                  <c:v>Данъчни приходи</c:v>
                </c:pt>
                <c:pt idx="2">
                  <c:v>Неданъчни приходи</c:v>
                </c:pt>
                <c:pt idx="3">
                  <c:v>Помощи и дарения</c:v>
                </c:pt>
              </c:strCache>
            </c:strRef>
          </c:cat>
          <c:val>
            <c:numRef>
              <c:f>data!$B$3:$B$6</c:f>
              <c:numCache>
                <c:formatCode>#,#00.0</c:formatCode>
                <c:ptCount val="4"/>
                <c:pt idx="0">
                  <c:v>15757.778955000002</c:v>
                </c:pt>
                <c:pt idx="1">
                  <c:v>12027.064051000001</c:v>
                </c:pt>
                <c:pt idx="2">
                  <c:v>2321.7747520000003</c:v>
                </c:pt>
                <c:pt idx="3">
                  <c:v>1408.9401519999999</c:v>
                </c:pt>
              </c:numCache>
            </c:numRef>
          </c:val>
          <c:extLst>
            <c:ext xmlns:c16="http://schemas.microsoft.com/office/drawing/2014/chart" uri="{C3380CC4-5D6E-409C-BE32-E72D297353CC}">
              <c16:uniqueId val="{0000000F-7F35-4849-8115-667F0287EA1D}"/>
            </c:ext>
          </c:extLst>
        </c:ser>
        <c:dLbls>
          <c:showLegendKey val="0"/>
          <c:showVal val="0"/>
          <c:showCatName val="0"/>
          <c:showSerName val="0"/>
          <c:showPercent val="0"/>
          <c:showBubbleSize val="0"/>
        </c:dLbls>
        <c:gapWidth val="150"/>
        <c:gapDepth val="273"/>
        <c:shape val="cylinder"/>
        <c:axId val="386737280"/>
        <c:axId val="386738816"/>
        <c:axId val="0"/>
      </c:bar3DChart>
      <c:catAx>
        <c:axId val="386737280"/>
        <c:scaling>
          <c:orientation val="minMax"/>
        </c:scaling>
        <c:delete val="0"/>
        <c:axPos val="l"/>
        <c:numFmt formatCode="General" sourceLinked="1"/>
        <c:majorTickMark val="out"/>
        <c:minorTickMark val="none"/>
        <c:tickLblPos val="low"/>
        <c:spPr>
          <a:ln w="9524">
            <a:noFill/>
          </a:ln>
        </c:spPr>
        <c:txPr>
          <a:bodyPr rot="0" vert="horz"/>
          <a:lstStyle/>
          <a:p>
            <a:pPr>
              <a:defRPr sz="900" b="0" i="0" u="none" strike="noStrike" baseline="0">
                <a:solidFill>
                  <a:srgbClr val="000000"/>
                </a:solidFill>
                <a:latin typeface="Times New Roman"/>
                <a:ea typeface="Times New Roman"/>
                <a:cs typeface="Times New Roman"/>
              </a:defRPr>
            </a:pPr>
            <a:endParaRPr lang="bg-BG"/>
          </a:p>
        </c:txPr>
        <c:crossAx val="386738816"/>
        <c:crosses val="autoZero"/>
        <c:auto val="1"/>
        <c:lblAlgn val="ctr"/>
        <c:lblOffset val="100"/>
        <c:noMultiLvlLbl val="0"/>
      </c:catAx>
      <c:valAx>
        <c:axId val="386738816"/>
        <c:scaling>
          <c:orientation val="minMax"/>
        </c:scaling>
        <c:delete val="0"/>
        <c:axPos val="b"/>
        <c:majorGridlines>
          <c:spPr>
            <a:ln w="3175">
              <a:solidFill>
                <a:srgbClr val="000000"/>
              </a:solidFill>
              <a:prstDash val="solid"/>
            </a:ln>
          </c:spPr>
        </c:majorGridlines>
        <c:title>
          <c:tx>
            <c:rich>
              <a:bodyPr/>
              <a:lstStyle/>
              <a:p>
                <a:pPr>
                  <a:defRPr sz="900" b="1" i="0" u="none" strike="noStrike" baseline="0">
                    <a:solidFill>
                      <a:srgbClr val="000000"/>
                    </a:solidFill>
                    <a:latin typeface="Times New Roman"/>
                    <a:ea typeface="Times New Roman"/>
                    <a:cs typeface="Times New Roman"/>
                  </a:defRPr>
                </a:pPr>
                <a:r>
                  <a:rPr lang="bg-BG"/>
                  <a:t>млн. лв.</a:t>
                </a:r>
              </a:p>
            </c:rich>
          </c:tx>
          <c:layout>
            <c:manualLayout>
              <c:xMode val="edge"/>
              <c:yMode val="edge"/>
              <c:x val="0.91324272509414584"/>
              <c:y val="0.92457285581237825"/>
            </c:manualLayout>
          </c:layout>
          <c:overlay val="0"/>
          <c:spPr>
            <a:noFill/>
            <a:ln w="25398">
              <a:noFill/>
            </a:ln>
          </c:spPr>
        </c:title>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bg-BG"/>
          </a:p>
        </c:txPr>
        <c:crossAx val="386737280"/>
        <c:crosses val="autoZero"/>
        <c:crossBetween val="between"/>
      </c:valAx>
      <c:spPr>
        <a:noFill/>
        <a:ln>
          <a:noFill/>
        </a:ln>
      </c:spPr>
    </c:plotArea>
    <c:legend>
      <c:legendPos val="r"/>
      <c:layout>
        <c:manualLayout>
          <c:xMode val="edge"/>
          <c:yMode val="edge"/>
          <c:x val="6.9073947278329327E-3"/>
          <c:y val="0.87270298873931074"/>
          <c:w val="0.14668503937007876"/>
          <c:h val="0.12342223351113368"/>
        </c:manualLayout>
      </c:layout>
      <c:overlay val="0"/>
      <c:spPr>
        <a:solidFill>
          <a:srgbClr val="FFFFFF"/>
        </a:solidFill>
        <a:ln w="3175">
          <a:solidFill>
            <a:srgbClr val="000000"/>
          </a:solidFill>
          <a:prstDash val="solid"/>
        </a:ln>
      </c:spPr>
      <c:txPr>
        <a:bodyPr/>
        <a:lstStyle/>
        <a:p>
          <a:pPr>
            <a:defRPr sz="690" b="1" i="0" u="none" strike="noStrike" baseline="0">
              <a:solidFill>
                <a:srgbClr val="000000"/>
              </a:solidFill>
              <a:latin typeface="Times New Roman"/>
              <a:ea typeface="Times New Roman"/>
              <a:cs typeface="Times New Roman"/>
            </a:defRPr>
          </a:pPr>
          <a:endParaRPr lang="bg-BG"/>
        </a:p>
      </c:txPr>
    </c:legend>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bg-BG"/>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00"/>
                </a:solidFill>
                <a:latin typeface="Times New Roman"/>
                <a:ea typeface="Times New Roman"/>
                <a:cs typeface="Times New Roman"/>
              </a:defRPr>
            </a:pPr>
            <a:r>
              <a:rPr lang="bg-BG" sz="1000"/>
              <a:t>Разходи по консолидираната фискална програма </a:t>
            </a:r>
            <a:r>
              <a:rPr lang="bg-BG" sz="1000" b="1" i="0" u="none" strike="noStrike" kern="1200" baseline="0">
                <a:solidFill>
                  <a:srgbClr val="000000"/>
                </a:solidFill>
                <a:latin typeface="Times New Roman"/>
                <a:cs typeface="Times New Roman"/>
              </a:rPr>
              <a:t>към март 2024 </a:t>
            </a:r>
            <a:r>
              <a:rPr lang="bg-BG" sz="1000"/>
              <a:t>г. и </a:t>
            </a:r>
            <a:r>
              <a:rPr lang="bg-BG" sz="1000" b="1" i="0" u="none" strike="noStrike" kern="1200" baseline="0">
                <a:solidFill>
                  <a:srgbClr val="000000"/>
                </a:solidFill>
                <a:latin typeface="Times New Roman"/>
                <a:cs typeface="Times New Roman"/>
              </a:rPr>
              <a:t>2025</a:t>
            </a:r>
            <a:r>
              <a:rPr lang="bg-BG" sz="1000"/>
              <a:t> г. </a:t>
            </a:r>
            <a:r>
              <a:rPr lang="en-US" sz="1000"/>
              <a:t>(</a:t>
            </a:r>
            <a:r>
              <a:rPr lang="bg-BG" sz="1000"/>
              <a:t>данните</a:t>
            </a:r>
            <a:r>
              <a:rPr lang="bg-BG" sz="1000" baseline="0"/>
              <a:t> за кап. разходи за 2024 г. са </a:t>
            </a:r>
            <a:r>
              <a:rPr lang="bg-BG" sz="1000" b="1" i="0" u="none" strike="noStrike" baseline="0">
                <a:effectLst/>
              </a:rPr>
              <a:t>на съпоставима база</a:t>
            </a:r>
            <a:r>
              <a:rPr lang="en-US" sz="1000"/>
              <a:t>)</a:t>
            </a:r>
            <a:endParaRPr lang="bg-BG" sz="1000"/>
          </a:p>
        </c:rich>
      </c:tx>
      <c:layout>
        <c:manualLayout>
          <c:xMode val="edge"/>
          <c:yMode val="edge"/>
          <c:x val="0.16410406246389012"/>
          <c:y val="3.585301837270342E-3"/>
        </c:manualLayout>
      </c:layout>
      <c:overlay val="0"/>
      <c:spPr>
        <a:noFill/>
        <a:ln w="25399">
          <a:noFill/>
        </a:ln>
      </c:spPr>
    </c:title>
    <c:autoTitleDeleted val="0"/>
    <c:view3D>
      <c:rotX val="30"/>
      <c:hPercent val="41"/>
      <c:rotY val="40"/>
      <c:depthPercent val="100"/>
      <c:rAngAx val="1"/>
    </c:view3D>
    <c:floor>
      <c:thickness val="0"/>
      <c:spPr>
        <a:gradFill>
          <a:gsLst>
            <a:gs pos="0">
              <a:sysClr val="window" lastClr="FFFFFF"/>
            </a:gs>
            <a:gs pos="92000">
              <a:sysClr val="window" lastClr="FFFFFF">
                <a:lumMod val="50000"/>
              </a:sysClr>
            </a:gs>
          </a:gsLst>
          <a:lin ang="2700000" scaled="1"/>
        </a:gradFill>
        <a:ln w="3175">
          <a:solidFill>
            <a:srgbClr val="000000"/>
          </a:solidFill>
          <a:prstDash val="solid"/>
        </a:ln>
      </c:spPr>
    </c:floor>
    <c:sideWall>
      <c:thickness val="0"/>
      <c:spPr>
        <a:gradFill>
          <a:gsLst>
            <a:gs pos="0">
              <a:sysClr val="window" lastClr="FFFFFF">
                <a:alpha val="24000"/>
                <a:lumMod val="50000"/>
                <a:lumOff val="50000"/>
              </a:sysClr>
            </a:gs>
            <a:gs pos="100000">
              <a:sysClr val="window" lastClr="FFFFFF">
                <a:lumMod val="50000"/>
              </a:sysClr>
            </a:gs>
          </a:gsLst>
          <a:lin ang="2700000" scaled="1"/>
        </a:gradFill>
        <a:ln w="3175">
          <a:solidFill>
            <a:srgbClr val="FFFFFF"/>
          </a:solidFill>
          <a:prstDash val="solid"/>
        </a:ln>
      </c:spPr>
    </c:sideWall>
    <c:backWall>
      <c:thickness val="0"/>
      <c:spPr>
        <a:gradFill>
          <a:gsLst>
            <a:gs pos="0">
              <a:sysClr val="window" lastClr="FFFFFF">
                <a:alpha val="24000"/>
                <a:lumMod val="50000"/>
                <a:lumOff val="50000"/>
              </a:sysClr>
            </a:gs>
            <a:gs pos="100000">
              <a:sysClr val="window" lastClr="FFFFFF">
                <a:lumMod val="50000"/>
              </a:sysClr>
            </a:gs>
          </a:gsLst>
          <a:lin ang="2700000" scaled="1"/>
        </a:gradFill>
        <a:ln w="3175">
          <a:solidFill>
            <a:srgbClr val="FFFFFF"/>
          </a:solidFill>
          <a:prstDash val="solid"/>
        </a:ln>
      </c:spPr>
    </c:backWall>
    <c:plotArea>
      <c:layout>
        <c:manualLayout>
          <c:layoutTarget val="inner"/>
          <c:xMode val="edge"/>
          <c:yMode val="edge"/>
          <c:x val="0.11039325374101672"/>
          <c:y val="0.12191676040494938"/>
          <c:w val="0.88751398999653341"/>
          <c:h val="0.62436895388076485"/>
        </c:manualLayout>
      </c:layout>
      <c:bar3DChart>
        <c:barDir val="col"/>
        <c:grouping val="clustered"/>
        <c:varyColors val="0"/>
        <c:ser>
          <c:idx val="0"/>
          <c:order val="0"/>
          <c:tx>
            <c:strRef>
              <c:f>data!$B$1</c:f>
              <c:strCache>
                <c:ptCount val="1"/>
                <c:pt idx="0">
                  <c:v>март 2024 г.</c:v>
                </c:pt>
              </c:strCache>
            </c:strRef>
          </c:tx>
          <c:spPr>
            <a:pattFill prst="pct5">
              <a:fgClr>
                <a:srgbClr val="000000"/>
              </a:fgClr>
              <a:bgClr>
                <a:sysClr val="windowText" lastClr="000000">
                  <a:lumMod val="65000"/>
                  <a:lumOff val="35000"/>
                </a:sysClr>
              </a:bgClr>
            </a:pattFill>
            <a:ln w="12700">
              <a:solidFill>
                <a:srgbClr val="000000"/>
              </a:solidFill>
              <a:prstDash val="solid"/>
            </a:ln>
          </c:spPr>
          <c:invertIfNegative val="0"/>
          <c:dLbls>
            <c:dLbl>
              <c:idx val="0"/>
              <c:layout>
                <c:manualLayout>
                  <c:x val="7.3754921259844451E-3"/>
                  <c:y val="0.1778318516637033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FC38-4BF0-9444-E73B23741C5A}"/>
                </c:ext>
              </c:extLst>
            </c:dLbl>
            <c:dLbl>
              <c:idx val="1"/>
              <c:layout>
                <c:manualLayout>
                  <c:x val="6.1202427821523912E-3"/>
                  <c:y val="0.163771060875455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FC38-4BF0-9444-E73B23741C5A}"/>
                </c:ext>
              </c:extLst>
            </c:dLbl>
            <c:dLbl>
              <c:idx val="2"/>
              <c:layout>
                <c:manualLayout>
                  <c:x val="2.7818241469817085E-3"/>
                  <c:y val="-3.331910930488526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FC38-4BF0-9444-E73B23741C5A}"/>
                </c:ext>
              </c:extLst>
            </c:dLbl>
            <c:dLbl>
              <c:idx val="3"/>
              <c:layout>
                <c:manualLayout>
                  <c:x val="1.0317257217847769E-2"/>
                  <c:y val="-2.06922360511387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FC38-4BF0-9444-E73B23741C5A}"/>
                </c:ext>
              </c:extLst>
            </c:dLbl>
            <c:dLbl>
              <c:idx val="4"/>
              <c:layout>
                <c:manualLayout>
                  <c:x val="1.6023129921259843E-2"/>
                  <c:y val="-3.354770976208618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FC38-4BF0-9444-E73B23741C5A}"/>
                </c:ext>
              </c:extLst>
            </c:dLbl>
            <c:dLbl>
              <c:idx val="5"/>
              <c:layout>
                <c:manualLayout>
                  <c:x val="1.8415952722890771E-2"/>
                  <c:y val="-2.638317425175968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FC38-4BF0-9444-E73B23741C5A}"/>
                </c:ext>
              </c:extLst>
            </c:dLbl>
            <c:dLbl>
              <c:idx val="6"/>
              <c:layout>
                <c:manualLayout>
                  <c:xMode val="edge"/>
                  <c:yMode val="edge"/>
                  <c:x val="0"/>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C38-4BF0-9444-E73B23741C5A}"/>
                </c:ext>
              </c:extLst>
            </c:dLbl>
            <c:spPr>
              <a:solidFill>
                <a:srgbClr val="FFFFFF"/>
              </a:solidFill>
              <a:ln w="25400">
                <a:noFill/>
              </a:ln>
            </c:spPr>
            <c:txPr>
              <a:bodyPr rot="-5400000" vert="horz"/>
              <a:lstStyle/>
              <a:p>
                <a:pPr algn="ctr">
                  <a:defRPr sz="800" b="1"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data!$A$3:$A$8</c:f>
              <c:strCache>
                <c:ptCount val="6"/>
                <c:pt idx="0">
                  <c:v>Общо разходи</c:v>
                </c:pt>
                <c:pt idx="1">
                  <c:v>Текущи нелихв. разходи</c:v>
                </c:pt>
                <c:pt idx="2">
                  <c:v>Предост. тек.
и капит. трансф. за чужбина</c:v>
                </c:pt>
                <c:pt idx="3">
                  <c:v>Капиталови разходи*</c:v>
                </c:pt>
                <c:pt idx="4">
                  <c:v>Лихви</c:v>
                </c:pt>
                <c:pt idx="5">
                  <c:v>Вноска в бюджета на  ЕС</c:v>
                </c:pt>
              </c:strCache>
            </c:strRef>
          </c:cat>
          <c:val>
            <c:numRef>
              <c:f>data!$B$3:$B$8</c:f>
              <c:numCache>
                <c:formatCode>#,##0.0</c:formatCode>
                <c:ptCount val="6"/>
                <c:pt idx="0">
                  <c:v>16556.825571999998</c:v>
                </c:pt>
                <c:pt idx="1">
                  <c:v>14929.697777999998</c:v>
                </c:pt>
                <c:pt idx="2">
                  <c:v>9.4574670000000012</c:v>
                </c:pt>
                <c:pt idx="3">
                  <c:v>940.68671000000018</c:v>
                </c:pt>
                <c:pt idx="4">
                  <c:v>337.692545</c:v>
                </c:pt>
                <c:pt idx="5">
                  <c:v>339.29107199999999</c:v>
                </c:pt>
              </c:numCache>
            </c:numRef>
          </c:val>
          <c:extLst>
            <c:ext xmlns:c16="http://schemas.microsoft.com/office/drawing/2014/chart" uri="{C3380CC4-5D6E-409C-BE32-E72D297353CC}">
              <c16:uniqueId val="{00000007-FC38-4BF0-9444-E73B23741C5A}"/>
            </c:ext>
          </c:extLst>
        </c:ser>
        <c:ser>
          <c:idx val="1"/>
          <c:order val="1"/>
          <c:tx>
            <c:strRef>
              <c:f>data!$C$1</c:f>
              <c:strCache>
                <c:ptCount val="1"/>
                <c:pt idx="0">
                  <c:v>март 2025 г.</c:v>
                </c:pt>
              </c:strCache>
            </c:strRef>
          </c:tx>
          <c:spPr>
            <a:pattFill prst="pct80">
              <a:fgClr>
                <a:srgbClr val="C0C0C0"/>
              </a:fgClr>
              <a:bgClr>
                <a:sysClr val="windowText" lastClr="000000">
                  <a:lumMod val="65000"/>
                  <a:lumOff val="35000"/>
                </a:sysClr>
              </a:bgClr>
            </a:pattFill>
            <a:ln w="12700">
              <a:solidFill>
                <a:srgbClr val="000000"/>
              </a:solidFill>
              <a:prstDash val="solid"/>
            </a:ln>
          </c:spPr>
          <c:invertIfNegative val="0"/>
          <c:dLbls>
            <c:dLbl>
              <c:idx val="0"/>
              <c:layout>
                <c:manualLayout>
                  <c:x val="9.3784974991333626E-3"/>
                  <c:y val="0.17701415230072981"/>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FC38-4BF0-9444-E73B23741C5A}"/>
                </c:ext>
              </c:extLst>
            </c:dLbl>
            <c:dLbl>
              <c:idx val="1"/>
              <c:layout>
                <c:manualLayout>
                  <c:x val="9.8586969081694981E-3"/>
                  <c:y val="0.17572675508584681"/>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FC38-4BF0-9444-E73B23741C5A}"/>
                </c:ext>
              </c:extLst>
            </c:dLbl>
            <c:dLbl>
              <c:idx val="2"/>
              <c:layout>
                <c:manualLayout>
                  <c:x val="1.3761646981627297E-2"/>
                  <c:y val="-2.785030903395140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FC38-4BF0-9444-E73B23741C5A}"/>
                </c:ext>
              </c:extLst>
            </c:dLbl>
            <c:dLbl>
              <c:idx val="3"/>
              <c:layout>
                <c:manualLayout>
                  <c:x val="1.1285428944023429E-2"/>
                  <c:y val="-1.837720284964379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FC38-4BF0-9444-E73B23741C5A}"/>
                </c:ext>
              </c:extLst>
            </c:dLbl>
            <c:dLbl>
              <c:idx val="4"/>
              <c:layout>
                <c:manualLayout>
                  <c:x val="2.7460301837270402E-2"/>
                  <c:y val="-4.790618914571210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FC38-4BF0-9444-E73B23741C5A}"/>
                </c:ext>
              </c:extLst>
            </c:dLbl>
            <c:dLbl>
              <c:idx val="5"/>
              <c:layout>
                <c:manualLayout>
                  <c:x val="3.0156260750382247E-2"/>
                  <c:y val="-2.81911263751215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FC38-4BF0-9444-E73B23741C5A}"/>
                </c:ext>
              </c:extLst>
            </c:dLbl>
            <c:dLbl>
              <c:idx val="6"/>
              <c:layout>
                <c:manualLayout>
                  <c:xMode val="edge"/>
                  <c:yMode val="edge"/>
                  <c:x val="0.9300813008130081"/>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FC38-4BF0-9444-E73B23741C5A}"/>
                </c:ext>
              </c:extLst>
            </c:dLbl>
            <c:spPr>
              <a:solidFill>
                <a:srgbClr val="FFFFFF"/>
              </a:solidFill>
              <a:ln w="25400">
                <a:noFill/>
              </a:ln>
            </c:spPr>
            <c:txPr>
              <a:bodyPr rot="-5400000" vert="horz"/>
              <a:lstStyle/>
              <a:p>
                <a:pPr algn="ctr">
                  <a:defRPr sz="800" b="1"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data!$A$3:$A$8</c:f>
              <c:strCache>
                <c:ptCount val="6"/>
                <c:pt idx="0">
                  <c:v>Общо разходи</c:v>
                </c:pt>
                <c:pt idx="1">
                  <c:v>Текущи нелихв. разходи</c:v>
                </c:pt>
                <c:pt idx="2">
                  <c:v>Предост. тек.
и капит. трансф. за чужбина</c:v>
                </c:pt>
                <c:pt idx="3">
                  <c:v>Капиталови разходи*</c:v>
                </c:pt>
                <c:pt idx="4">
                  <c:v>Лихви</c:v>
                </c:pt>
                <c:pt idx="5">
                  <c:v>Вноска в бюджета на  ЕС</c:v>
                </c:pt>
              </c:strCache>
            </c:strRef>
          </c:cat>
          <c:val>
            <c:numRef>
              <c:f>data!$C$3:$C$8</c:f>
              <c:numCache>
                <c:formatCode>#,##0.0</c:formatCode>
                <c:ptCount val="6"/>
                <c:pt idx="0">
                  <c:v>18761.033483000003</c:v>
                </c:pt>
                <c:pt idx="1">
                  <c:v>16807.410018000002</c:v>
                </c:pt>
                <c:pt idx="2">
                  <c:v>16.539147</c:v>
                </c:pt>
                <c:pt idx="3" formatCode="#,##0.0_ ;\-#,##0.0\ ">
                  <c:v>1017.773871</c:v>
                </c:pt>
                <c:pt idx="4">
                  <c:v>411.04844599999996</c:v>
                </c:pt>
                <c:pt idx="5">
                  <c:v>508.262001</c:v>
                </c:pt>
              </c:numCache>
            </c:numRef>
          </c:val>
          <c:extLst>
            <c:ext xmlns:c16="http://schemas.microsoft.com/office/drawing/2014/chart" uri="{C3380CC4-5D6E-409C-BE32-E72D297353CC}">
              <c16:uniqueId val="{0000000F-FC38-4BF0-9444-E73B23741C5A}"/>
            </c:ext>
          </c:extLst>
        </c:ser>
        <c:dLbls>
          <c:showLegendKey val="0"/>
          <c:showVal val="0"/>
          <c:showCatName val="0"/>
          <c:showSerName val="0"/>
          <c:showPercent val="0"/>
          <c:showBubbleSize val="0"/>
        </c:dLbls>
        <c:gapWidth val="150"/>
        <c:shape val="cylinder"/>
        <c:axId val="414520064"/>
        <c:axId val="414521600"/>
        <c:axId val="0"/>
      </c:bar3DChart>
      <c:catAx>
        <c:axId val="414520064"/>
        <c:scaling>
          <c:orientation val="minMax"/>
        </c:scaling>
        <c:delete val="0"/>
        <c:axPos val="b"/>
        <c:numFmt formatCode="General" sourceLinked="1"/>
        <c:majorTickMark val="out"/>
        <c:minorTickMark val="none"/>
        <c:tickLblPos val="low"/>
        <c:spPr>
          <a:ln w="9525">
            <a:noFill/>
          </a:ln>
        </c:spPr>
        <c:txPr>
          <a:bodyPr rot="0" vert="horz"/>
          <a:lstStyle/>
          <a:p>
            <a:pPr>
              <a:defRPr sz="990" b="1" i="0" u="none" strike="noStrike" baseline="2000">
                <a:solidFill>
                  <a:srgbClr val="000000"/>
                </a:solidFill>
                <a:latin typeface="Times New Roman"/>
                <a:ea typeface="Times New Roman"/>
                <a:cs typeface="Times New Roman"/>
              </a:defRPr>
            </a:pPr>
            <a:endParaRPr lang="bg-BG"/>
          </a:p>
        </c:txPr>
        <c:crossAx val="414521600"/>
        <c:crosses val="autoZero"/>
        <c:auto val="1"/>
        <c:lblAlgn val="ctr"/>
        <c:lblOffset val="100"/>
        <c:tickMarkSkip val="1"/>
        <c:noMultiLvlLbl val="0"/>
      </c:catAx>
      <c:valAx>
        <c:axId val="414521600"/>
        <c:scaling>
          <c:orientation val="minMax"/>
        </c:scaling>
        <c:delete val="0"/>
        <c:axPos val="l"/>
        <c:majorGridlines>
          <c:spPr>
            <a:ln>
              <a:solidFill>
                <a:sysClr val="windowText" lastClr="000000">
                  <a:lumMod val="50000"/>
                  <a:lumOff val="50000"/>
                </a:sysClr>
              </a:solidFill>
            </a:ln>
          </c:spPr>
        </c:majorGridlines>
        <c:minorGridlines>
          <c:spPr>
            <a:ln>
              <a:noFill/>
            </a:ln>
          </c:spPr>
        </c:minorGridlines>
        <c:title>
          <c:tx>
            <c:rich>
              <a:bodyPr rot="0" vert="horz"/>
              <a:lstStyle/>
              <a:p>
                <a:pPr algn="ctr">
                  <a:defRPr sz="900" b="1" i="0" u="none" strike="noStrike" baseline="0">
                    <a:solidFill>
                      <a:srgbClr val="000000"/>
                    </a:solidFill>
                    <a:latin typeface="Times New Roman"/>
                    <a:ea typeface="Times New Roman"/>
                    <a:cs typeface="Times New Roman"/>
                  </a:defRPr>
                </a:pPr>
                <a:r>
                  <a:rPr lang="bg-BG"/>
                  <a:t>млн. лв.</a:t>
                </a:r>
              </a:p>
            </c:rich>
          </c:tx>
          <c:layout>
            <c:manualLayout>
              <c:xMode val="edge"/>
              <c:yMode val="edge"/>
              <c:x val="1.3654566764060167E-2"/>
              <c:y val="6.4984251968503937E-2"/>
            </c:manualLayout>
          </c:layout>
          <c:overlay val="0"/>
          <c:spPr>
            <a:noFill/>
            <a:ln w="25399">
              <a:noFill/>
            </a:ln>
          </c:spPr>
        </c:title>
        <c:numFmt formatCode="#,##0.0" sourceLinked="0"/>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Times New Roman"/>
                <a:ea typeface="Times New Roman"/>
                <a:cs typeface="Times New Roman"/>
              </a:defRPr>
            </a:pPr>
            <a:endParaRPr lang="bg-BG"/>
          </a:p>
        </c:txPr>
        <c:crossAx val="414520064"/>
        <c:crosses val="autoZero"/>
        <c:crossBetween val="between"/>
      </c:valAx>
      <c:spPr>
        <a:noFill/>
        <a:ln w="25399">
          <a:noFill/>
        </a:ln>
      </c:spPr>
    </c:plotArea>
    <c:legend>
      <c:legendPos val="r"/>
      <c:legendEntry>
        <c:idx val="0"/>
        <c:txPr>
          <a:bodyPr/>
          <a:lstStyle/>
          <a:p>
            <a:pPr>
              <a:defRPr sz="700" b="1" i="0" u="none" strike="noStrike" baseline="0">
                <a:solidFill>
                  <a:srgbClr val="000000"/>
                </a:solidFill>
                <a:latin typeface="Times New Roman"/>
                <a:ea typeface="Times New Roman"/>
                <a:cs typeface="Times New Roman"/>
              </a:defRPr>
            </a:pPr>
            <a:endParaRPr lang="bg-BG"/>
          </a:p>
        </c:txPr>
      </c:legendEntry>
      <c:legendEntry>
        <c:idx val="1"/>
        <c:txPr>
          <a:bodyPr/>
          <a:lstStyle/>
          <a:p>
            <a:pPr>
              <a:defRPr sz="700" b="1" i="0" u="none" strike="noStrike" baseline="0">
                <a:solidFill>
                  <a:srgbClr val="000000"/>
                </a:solidFill>
                <a:latin typeface="Times New Roman"/>
                <a:ea typeface="Times New Roman"/>
                <a:cs typeface="Times New Roman"/>
              </a:defRPr>
            </a:pPr>
            <a:endParaRPr lang="bg-BG"/>
          </a:p>
        </c:txPr>
      </c:legendEntry>
      <c:layout>
        <c:manualLayout>
          <c:xMode val="edge"/>
          <c:yMode val="edge"/>
          <c:x val="6.2893081761007516E-3"/>
          <c:y val="0.91250477411253827"/>
          <c:w val="0.13829049670677956"/>
          <c:h val="8.7496437945256841E-2"/>
        </c:manualLayout>
      </c:layout>
      <c:overlay val="0"/>
      <c:spPr>
        <a:solidFill>
          <a:srgbClr val="FFFFFF"/>
        </a:solidFill>
        <a:ln w="3175">
          <a:solidFill>
            <a:srgbClr val="000000"/>
          </a:solidFill>
          <a:prstDash val="solid"/>
        </a:ln>
      </c:spPr>
      <c:txPr>
        <a:bodyPr/>
        <a:lstStyle/>
        <a:p>
          <a:pPr>
            <a:defRPr sz="700" b="1" i="0" u="none" strike="noStrike" baseline="0">
              <a:solidFill>
                <a:srgbClr val="000000"/>
              </a:solidFill>
              <a:latin typeface="Times New Roman"/>
              <a:ea typeface="Times New Roman"/>
              <a:cs typeface="Times New Roman"/>
            </a:defRPr>
          </a:pPr>
          <a:endParaRPr lang="bg-BG"/>
        </a:p>
      </c:txPr>
    </c:legend>
    <c:plotVisOnly val="1"/>
    <c:dispBlanksAs val="gap"/>
    <c:showDLblsOverMax val="0"/>
  </c:chart>
  <c:spPr>
    <a:solidFill>
      <a:srgbClr val="FFFFFF"/>
    </a:solidFill>
    <a:ln w="3175">
      <a:solidFill>
        <a:srgbClr val="000000"/>
      </a:solidFill>
      <a:prstDash val="solid"/>
    </a:ln>
  </c:spPr>
  <c:txPr>
    <a:bodyPr/>
    <a:lstStyle/>
    <a:p>
      <a:pPr>
        <a:defRPr sz="950" b="0" i="0" u="none" strike="noStrike" baseline="0">
          <a:solidFill>
            <a:srgbClr val="000000"/>
          </a:solidFill>
          <a:latin typeface="Arial"/>
          <a:ea typeface="Arial"/>
          <a:cs typeface="Arial"/>
        </a:defRPr>
      </a:pPr>
      <a:endParaRPr lang="bg-BG"/>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5069391409685821E-2"/>
          <c:y val="3.8309849426716412E-2"/>
          <c:w val="0.90305106959238579"/>
          <c:h val="0.68449451055100907"/>
        </c:manualLayout>
      </c:layout>
      <c:barChart>
        <c:barDir val="col"/>
        <c:grouping val="clustered"/>
        <c:varyColors val="0"/>
        <c:ser>
          <c:idx val="0"/>
          <c:order val="0"/>
          <c:tx>
            <c:strRef>
              <c:f>Sheet1!$B$36</c:f>
              <c:strCache>
                <c:ptCount val="1"/>
                <c:pt idx="0">
                  <c:v> март 2024 г.</c:v>
                </c:pt>
              </c:strCache>
            </c:strRef>
          </c:tx>
          <c:spPr>
            <a:pattFill prst="pct5">
              <a:fgClr>
                <a:srgbClr val="FFFFFF"/>
              </a:fgClr>
              <a:bgClr>
                <a:srgbClr val="000000"/>
              </a:bgClr>
            </a:pattFill>
            <a:ln w="12683">
              <a:solidFill>
                <a:srgbClr val="000000"/>
              </a:solidFill>
              <a:prstDash val="solid"/>
            </a:ln>
          </c:spPr>
          <c:invertIfNegative val="0"/>
          <c:dLbls>
            <c:dLbl>
              <c:idx val="1"/>
              <c:layout>
                <c:manualLayout>
                  <c:x val="2.2760896779333104E-3"/>
                  <c:y val="4.300390905533313E-7"/>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AECF-4A75-8A67-B49482079B1A}"/>
                </c:ext>
              </c:extLst>
            </c:dLbl>
            <c:dLbl>
              <c:idx val="2"/>
              <c:layout>
                <c:manualLayout>
                  <c:x val="0"/>
                  <c:y val="-4.3402777777778578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AECF-4A75-8A67-B49482079B1A}"/>
                </c:ext>
              </c:extLst>
            </c:dLbl>
            <c:dLbl>
              <c:idx val="3"/>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AECF-4A75-8A67-B49482079B1A}"/>
                </c:ext>
              </c:extLst>
            </c:dLbl>
            <c:dLbl>
              <c:idx val="5"/>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AECF-4A75-8A67-B49482079B1A}"/>
                </c:ext>
              </c:extLst>
            </c:dLbl>
            <c:numFmt formatCode="#,##0.0" sourceLinked="0"/>
            <c:spPr>
              <a:solidFill>
                <a:srgbClr val="FFFFFF"/>
              </a:solidFill>
              <a:ln w="25367">
                <a:noFill/>
              </a:ln>
            </c:spPr>
            <c:txPr>
              <a:bodyPr rot="-5400000" vert="horz"/>
              <a:lstStyle/>
              <a:p>
                <a:pPr algn="ctr">
                  <a:defRPr sz="899" b="0" i="0" u="none" strike="noStrike" baseline="0">
                    <a:solidFill>
                      <a:srgbClr val="000000"/>
                    </a:solidFill>
                    <a:latin typeface="Times New Roman"/>
                    <a:ea typeface="Times New Roman"/>
                    <a:cs typeface="Times New Roman"/>
                  </a:defRPr>
                </a:pPr>
                <a:endParaRPr lang="bg-BG"/>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Sheet1!$A$38:$A$43</c:f>
              <c:strCache>
                <c:ptCount val="6"/>
                <c:pt idx="0">
                  <c:v>Текущи нелихвени разходи</c:v>
                </c:pt>
                <c:pt idx="1">
                  <c:v>Предост. тек. и кап. трансф. за чужбина</c:v>
                </c:pt>
                <c:pt idx="2">
                  <c:v>Капиталови р-ди*</c:v>
                </c:pt>
                <c:pt idx="3">
                  <c:v>Лихвени р-ди</c:v>
                </c:pt>
                <c:pt idx="4">
                  <c:v>Нето предоставени трансфери за др. бюджети</c:v>
                </c:pt>
                <c:pt idx="5">
                  <c:v>Вноска в бюджета на ЕС</c:v>
                </c:pt>
              </c:strCache>
            </c:strRef>
          </c:cat>
          <c:val>
            <c:numRef>
              <c:f>Sheet1!$B$38:$B$43</c:f>
              <c:numCache>
                <c:formatCode>#,##0.0</c:formatCode>
                <c:ptCount val="6"/>
                <c:pt idx="0">
                  <c:v>3638.3600030000002</c:v>
                </c:pt>
                <c:pt idx="1">
                  <c:v>1.57829</c:v>
                </c:pt>
                <c:pt idx="2">
                  <c:v>293.33141799999999</c:v>
                </c:pt>
                <c:pt idx="3">
                  <c:v>322.42579799999999</c:v>
                </c:pt>
                <c:pt idx="4">
                  <c:v>6778.7875430000004</c:v>
                </c:pt>
                <c:pt idx="5">
                  <c:v>339.29107199999999</c:v>
                </c:pt>
              </c:numCache>
            </c:numRef>
          </c:val>
          <c:extLst>
            <c:ext xmlns:c16="http://schemas.microsoft.com/office/drawing/2014/chart" uri="{C3380CC4-5D6E-409C-BE32-E72D297353CC}">
              <c16:uniqueId val="{00000004-AECF-4A75-8A67-B49482079B1A}"/>
            </c:ext>
          </c:extLst>
        </c:ser>
        <c:ser>
          <c:idx val="1"/>
          <c:order val="1"/>
          <c:tx>
            <c:strRef>
              <c:f>Sheet1!$C$36</c:f>
              <c:strCache>
                <c:ptCount val="1"/>
                <c:pt idx="0">
                  <c:v> март 2025 г.</c:v>
                </c:pt>
              </c:strCache>
            </c:strRef>
          </c:tx>
          <c:spPr>
            <a:pattFill prst="smConfetti">
              <a:fgClr>
                <a:srgbClr val="333333"/>
              </a:fgClr>
              <a:bgClr>
                <a:srgbClr val="FFFFFF"/>
              </a:bgClr>
            </a:pattFill>
            <a:ln w="12683">
              <a:solidFill>
                <a:srgbClr val="000000"/>
              </a:solidFill>
              <a:prstDash val="solid"/>
            </a:ln>
          </c:spPr>
          <c:invertIfNegative val="0"/>
          <c:dLbls>
            <c:dLbl>
              <c:idx val="0"/>
              <c:layout/>
              <c:dLblPos val="in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AECF-4A75-8A67-B49482079B1A}"/>
                </c:ext>
              </c:extLst>
            </c:dLbl>
            <c:dLbl>
              <c:idx val="1"/>
              <c:layout>
                <c:manualLayout>
                  <c:x val="-1.3777787060437307E-3"/>
                  <c:y val="-2.2458399596602201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AECF-4A75-8A67-B49482079B1A}"/>
                </c:ext>
              </c:extLst>
            </c:dLbl>
            <c:dLbl>
              <c:idx val="2"/>
              <c:layout>
                <c:manualLayout>
                  <c:x val="2.2504468494836203E-3"/>
                  <c:y val="-1.1601186570428697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AECF-4A75-8A67-B49482079B1A}"/>
                </c:ext>
              </c:extLst>
            </c:dLbl>
            <c:dLbl>
              <c:idx val="3"/>
              <c:layout>
                <c:manualLayout>
                  <c:x val="4.7141342909059365E-3"/>
                  <c:y val="-1.23333001096382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AECF-4A75-8A67-B49482079B1A}"/>
                </c:ext>
              </c:extLst>
            </c:dLbl>
            <c:dLbl>
              <c:idx val="4"/>
              <c:layout>
                <c:manualLayout>
                  <c:x val="-1.9916680780216536E-3"/>
                  <c:y val="0.14976670379337481"/>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AECF-4A75-8A67-B49482079B1A}"/>
                </c:ext>
              </c:extLst>
            </c:dLbl>
            <c:dLbl>
              <c:idx val="5"/>
              <c:layout>
                <c:manualLayout>
                  <c:x val="1.9210939978656521E-3"/>
                  <c:y val="5.6948735838400722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AECF-4A75-8A67-B49482079B1A}"/>
                </c:ext>
              </c:extLst>
            </c:dLbl>
            <c:numFmt formatCode="#,##0.0" sourceLinked="0"/>
            <c:spPr>
              <a:solidFill>
                <a:srgbClr val="FFFFFF"/>
              </a:solidFill>
              <a:ln w="25367">
                <a:noFill/>
              </a:ln>
            </c:spPr>
            <c:txPr>
              <a:bodyPr rot="-5400000" vert="horz"/>
              <a:lstStyle/>
              <a:p>
                <a:pPr algn="ctr">
                  <a:defRPr sz="899" b="0"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Sheet1!$A$38:$A$43</c:f>
              <c:strCache>
                <c:ptCount val="6"/>
                <c:pt idx="0">
                  <c:v>Текущи нелихвени разходи</c:v>
                </c:pt>
                <c:pt idx="1">
                  <c:v>Предост. тек. и кап. трансф. за чужбина</c:v>
                </c:pt>
                <c:pt idx="2">
                  <c:v>Капиталови р-ди*</c:v>
                </c:pt>
                <c:pt idx="3">
                  <c:v>Лихвени р-ди</c:v>
                </c:pt>
                <c:pt idx="4">
                  <c:v>Нето предоставени трансфери за др. бюджети</c:v>
                </c:pt>
                <c:pt idx="5">
                  <c:v>Вноска в бюджета на ЕС</c:v>
                </c:pt>
              </c:strCache>
            </c:strRef>
          </c:cat>
          <c:val>
            <c:numRef>
              <c:f>Sheet1!$C$38:$C$43</c:f>
              <c:numCache>
                <c:formatCode>#,##0.0</c:formatCode>
                <c:ptCount val="6"/>
                <c:pt idx="0">
                  <c:v>3888.6201099999998</c:v>
                </c:pt>
                <c:pt idx="1">
                  <c:v>1.542761</c:v>
                </c:pt>
                <c:pt idx="2">
                  <c:v>231.24732299999999</c:v>
                </c:pt>
                <c:pt idx="3">
                  <c:v>396.62169299999994</c:v>
                </c:pt>
                <c:pt idx="4">
                  <c:v>7332.9730650000001</c:v>
                </c:pt>
                <c:pt idx="5">
                  <c:v>508.262001</c:v>
                </c:pt>
              </c:numCache>
            </c:numRef>
          </c:val>
          <c:extLst>
            <c:ext xmlns:c16="http://schemas.microsoft.com/office/drawing/2014/chart" uri="{C3380CC4-5D6E-409C-BE32-E72D297353CC}">
              <c16:uniqueId val="{0000000B-AECF-4A75-8A67-B49482079B1A}"/>
            </c:ext>
          </c:extLst>
        </c:ser>
        <c:dLbls>
          <c:showLegendKey val="0"/>
          <c:showVal val="0"/>
          <c:showCatName val="0"/>
          <c:showSerName val="0"/>
          <c:showPercent val="0"/>
          <c:showBubbleSize val="0"/>
        </c:dLbls>
        <c:gapWidth val="150"/>
        <c:axId val="415977856"/>
        <c:axId val="415979392"/>
      </c:barChart>
      <c:catAx>
        <c:axId val="415977856"/>
        <c:scaling>
          <c:orientation val="minMax"/>
        </c:scaling>
        <c:delete val="0"/>
        <c:axPos val="b"/>
        <c:numFmt formatCode="General" sourceLinked="1"/>
        <c:majorTickMark val="out"/>
        <c:minorTickMark val="none"/>
        <c:tickLblPos val="nextTo"/>
        <c:spPr>
          <a:ln w="9512">
            <a:noFill/>
          </a:ln>
        </c:spPr>
        <c:txPr>
          <a:bodyPr rot="0" vert="horz"/>
          <a:lstStyle/>
          <a:p>
            <a:pPr>
              <a:defRPr sz="970" b="1" i="0" u="none" strike="noStrike" baseline="2000">
                <a:solidFill>
                  <a:srgbClr val="000000"/>
                </a:solidFill>
                <a:latin typeface="Times New Roman"/>
                <a:ea typeface="Times New Roman"/>
                <a:cs typeface="Times New Roman"/>
              </a:defRPr>
            </a:pPr>
            <a:endParaRPr lang="bg-BG"/>
          </a:p>
        </c:txPr>
        <c:crossAx val="415979392"/>
        <c:crosses val="autoZero"/>
        <c:auto val="1"/>
        <c:lblAlgn val="ctr"/>
        <c:lblOffset val="100"/>
        <c:tickLblSkip val="1"/>
        <c:tickMarkSkip val="1"/>
        <c:noMultiLvlLbl val="0"/>
      </c:catAx>
      <c:valAx>
        <c:axId val="415979392"/>
        <c:scaling>
          <c:orientation val="minMax"/>
        </c:scaling>
        <c:delete val="0"/>
        <c:axPos val="l"/>
        <c:majorGridlines>
          <c:spPr>
            <a:ln w="3171">
              <a:solidFill>
                <a:srgbClr val="000000"/>
              </a:solidFill>
              <a:prstDash val="solid"/>
            </a:ln>
          </c:spPr>
        </c:majorGridlines>
        <c:title>
          <c:tx>
            <c:rich>
              <a:bodyPr rot="0" vert="horz"/>
              <a:lstStyle/>
              <a:p>
                <a:pPr algn="ctr">
                  <a:defRPr sz="899" b="0" i="0" u="none" strike="noStrike" baseline="0">
                    <a:solidFill>
                      <a:srgbClr val="000000"/>
                    </a:solidFill>
                    <a:latin typeface="Times New Roman"/>
                    <a:ea typeface="Times New Roman"/>
                    <a:cs typeface="Times New Roman"/>
                  </a:defRPr>
                </a:pPr>
                <a:r>
                  <a:rPr lang="bg-BG"/>
                  <a:t>(млн. лв.)</a:t>
                </a:r>
              </a:p>
            </c:rich>
          </c:tx>
          <c:layout>
            <c:manualLayout>
              <c:xMode val="edge"/>
              <c:yMode val="edge"/>
              <c:x val="9.3198691529022576E-4"/>
              <c:y val="0.93341453652604278"/>
            </c:manualLayout>
          </c:layout>
          <c:overlay val="0"/>
          <c:spPr>
            <a:noFill/>
            <a:ln w="25367">
              <a:noFill/>
            </a:ln>
          </c:spPr>
        </c:title>
        <c:numFmt formatCode="#\ ##0" sourceLinked="0"/>
        <c:majorTickMark val="out"/>
        <c:minorTickMark val="none"/>
        <c:tickLblPos val="nextTo"/>
        <c:spPr>
          <a:ln w="3171">
            <a:solidFill>
              <a:srgbClr val="000000"/>
            </a:solidFill>
            <a:prstDash val="solid"/>
          </a:ln>
        </c:spPr>
        <c:txPr>
          <a:bodyPr rot="0" vert="horz"/>
          <a:lstStyle/>
          <a:p>
            <a:pPr>
              <a:defRPr sz="899" b="0" i="0" u="none" strike="noStrike" baseline="0">
                <a:solidFill>
                  <a:srgbClr val="000000"/>
                </a:solidFill>
                <a:latin typeface="Times New Roman"/>
                <a:ea typeface="Times New Roman"/>
                <a:cs typeface="Times New Roman"/>
              </a:defRPr>
            </a:pPr>
            <a:endParaRPr lang="bg-BG"/>
          </a:p>
        </c:txPr>
        <c:crossAx val="415977856"/>
        <c:crosses val="autoZero"/>
        <c:crossBetween val="between"/>
      </c:valAx>
      <c:spPr>
        <a:solidFill>
          <a:srgbClr val="FFFFFF"/>
        </a:solidFill>
        <a:ln w="6350">
          <a:solidFill>
            <a:sysClr val="window" lastClr="FFFFFF">
              <a:lumMod val="85000"/>
            </a:sysClr>
          </a:solidFill>
          <a:prstDash val="solid"/>
        </a:ln>
      </c:spPr>
    </c:plotArea>
    <c:legend>
      <c:legendPos val="r"/>
      <c:legendEntry>
        <c:idx val="0"/>
        <c:txPr>
          <a:bodyPr/>
          <a:lstStyle/>
          <a:p>
            <a:pPr>
              <a:defRPr sz="780" b="1" i="0" u="none" strike="noStrike" baseline="0">
                <a:solidFill>
                  <a:srgbClr val="000000"/>
                </a:solidFill>
                <a:latin typeface="Times New Roman"/>
                <a:ea typeface="Times New Roman"/>
                <a:cs typeface="Times New Roman"/>
              </a:defRPr>
            </a:pPr>
            <a:endParaRPr lang="bg-BG"/>
          </a:p>
        </c:txPr>
      </c:legendEntry>
      <c:legendEntry>
        <c:idx val="1"/>
        <c:txPr>
          <a:bodyPr/>
          <a:lstStyle/>
          <a:p>
            <a:pPr>
              <a:defRPr sz="780" b="1" i="0" u="none" strike="noStrike" baseline="0">
                <a:solidFill>
                  <a:srgbClr val="000000"/>
                </a:solidFill>
                <a:latin typeface="Times New Roman"/>
                <a:ea typeface="Times New Roman"/>
                <a:cs typeface="Times New Roman"/>
              </a:defRPr>
            </a:pPr>
            <a:endParaRPr lang="bg-BG"/>
          </a:p>
        </c:txPr>
      </c:legendEntry>
      <c:layout>
        <c:manualLayout>
          <c:xMode val="edge"/>
          <c:yMode val="edge"/>
          <c:x val="0.38042784974458832"/>
          <c:y val="0.91659665892376085"/>
          <c:w val="0.27736291028137611"/>
          <c:h val="8.2830786585230104E-2"/>
        </c:manualLayout>
      </c:layout>
      <c:overlay val="0"/>
      <c:spPr>
        <a:solidFill>
          <a:srgbClr val="FFFFFF"/>
        </a:solidFill>
        <a:ln w="3171">
          <a:solidFill>
            <a:sysClr val="window" lastClr="FFFFFF">
              <a:lumMod val="85000"/>
            </a:sysClr>
          </a:solidFill>
          <a:prstDash val="solid"/>
        </a:ln>
      </c:spPr>
      <c:txPr>
        <a:bodyPr/>
        <a:lstStyle/>
        <a:p>
          <a:pPr>
            <a:defRPr sz="780" b="1" i="0" u="none" strike="noStrike" baseline="0">
              <a:solidFill>
                <a:srgbClr val="000000"/>
              </a:solidFill>
              <a:latin typeface="Times New Roman"/>
              <a:ea typeface="Times New Roman"/>
              <a:cs typeface="Times New Roman"/>
            </a:defRPr>
          </a:pPr>
          <a:endParaRPr lang="bg-BG"/>
        </a:p>
      </c:txPr>
    </c:legend>
    <c:plotVisOnly val="1"/>
    <c:dispBlanksAs val="gap"/>
    <c:showDLblsOverMax val="0"/>
  </c:chart>
  <c:spPr>
    <a:solidFill>
      <a:srgbClr val="FFFFFF"/>
    </a:solidFill>
    <a:ln w="3171">
      <a:solidFill>
        <a:srgbClr val="000000"/>
      </a:solidFill>
      <a:prstDash val="solid"/>
    </a:ln>
  </c:spPr>
  <c:txPr>
    <a:bodyPr/>
    <a:lstStyle/>
    <a:p>
      <a:pPr>
        <a:defRPr sz="1124" b="0" i="0" u="none" strike="noStrike" baseline="0">
          <a:solidFill>
            <a:srgbClr val="000000"/>
          </a:solidFill>
          <a:latin typeface="Arial"/>
          <a:ea typeface="Arial"/>
          <a:cs typeface="Arial"/>
        </a:defRPr>
      </a:pPr>
      <a:endParaRPr lang="bg-BG"/>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0.50767</cdr:x>
      <cdr:y>0.50124</cdr:y>
    </cdr:from>
    <cdr:to>
      <cdr:x>0.52046</cdr:x>
      <cdr:y>0.56116</cdr:y>
    </cdr:to>
    <cdr:sp macro="" textlink="">
      <cdr:nvSpPr>
        <cdr:cNvPr id="3073" name="Text Box 1"/>
        <cdr:cNvSpPr txBox="1">
          <a:spLocks xmlns:a="http://schemas.openxmlformats.org/drawingml/2006/main" noChangeArrowheads="1"/>
        </cdr:cNvSpPr>
      </cdr:nvSpPr>
      <cdr:spPr bwMode="auto">
        <a:xfrm xmlns:a="http://schemas.openxmlformats.org/drawingml/2006/main">
          <a:off x="3536779" y="1408614"/>
          <a:ext cx="94821" cy="16927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bg-BG" sz="1125" b="0" i="0" u="none" strike="noStrike" baseline="0">
              <a:solidFill>
                <a:srgbClr val="000000"/>
              </a:solidFill>
              <a:latin typeface="Arial"/>
              <a:cs typeface="Arial"/>
            </a:rPr>
            <a:t> </a:t>
          </a:r>
        </a:p>
      </cdr:txBody>
    </cdr:sp>
  </cdr:relSizeAnchor>
  <cdr:relSizeAnchor xmlns:cdr="http://schemas.openxmlformats.org/drawingml/2006/chartDrawing">
    <cdr:from>
      <cdr:x>0.50767</cdr:x>
      <cdr:y>0.50124</cdr:y>
    </cdr:from>
    <cdr:to>
      <cdr:x>0.61477</cdr:x>
      <cdr:y>0.56116</cdr:y>
    </cdr:to>
    <cdr:sp macro="" textlink="">
      <cdr:nvSpPr>
        <cdr:cNvPr id="3074" name="Text Box 2"/>
        <cdr:cNvSpPr txBox="1">
          <a:spLocks xmlns:a="http://schemas.openxmlformats.org/drawingml/2006/main" noChangeArrowheads="1"/>
        </cdr:cNvSpPr>
      </cdr:nvSpPr>
      <cdr:spPr bwMode="auto">
        <a:xfrm xmlns:a="http://schemas.openxmlformats.org/drawingml/2006/main">
          <a:off x="3536779" y="1408614"/>
          <a:ext cx="751674" cy="16927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endParaRPr lang="bg-BG" sz="1125" b="0" i="0" u="none" strike="noStrike" baseline="0">
            <a:solidFill>
              <a:srgbClr val="000000"/>
            </a:solidFill>
            <a:latin typeface="Arial"/>
            <a:cs typeface="Arial"/>
          </a:endParaRPr>
        </a:p>
        <a:p xmlns:a="http://schemas.openxmlformats.org/drawingml/2006/main">
          <a:pPr algn="ctr" rtl="0">
            <a:defRPr sz="1000"/>
          </a:pPr>
          <a:endParaRPr lang="bg-BG" sz="1125" b="0" i="0" u="none" strike="noStrike" baseline="0">
            <a:solidFill>
              <a:srgbClr val="000000"/>
            </a:solidFill>
            <a:latin typeface="Arial"/>
            <a:cs typeface="Arial"/>
          </a:endParaRPr>
        </a:p>
        <a:p xmlns:a="http://schemas.openxmlformats.org/drawingml/2006/main">
          <a:pPr algn="ctr" rtl="0">
            <a:defRPr sz="1000"/>
          </a:pPr>
          <a:endParaRPr lang="bg-BG" sz="1125" b="0" i="0" u="none" strike="noStrike" baseline="0">
            <a:solidFill>
              <a:srgbClr val="000000"/>
            </a:solidFill>
            <a:latin typeface="Arial"/>
            <a:cs typeface="Aria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AD105-96F7-4672-98B8-74362EAAF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1636</TotalTime>
  <Pages>29</Pages>
  <Words>15285</Words>
  <Characters>79242</Characters>
  <Application>Microsoft Office Word</Application>
  <DocSecurity>0</DocSecurity>
  <Lines>660</Lines>
  <Paragraphs>188</Paragraphs>
  <ScaleCrop>false</ScaleCrop>
  <HeadingPairs>
    <vt:vector size="2" baseType="variant">
      <vt:variant>
        <vt:lpstr>Title</vt:lpstr>
      </vt:variant>
      <vt:variant>
        <vt:i4>1</vt:i4>
      </vt:variant>
    </vt:vector>
  </HeadingPairs>
  <TitlesOfParts>
    <vt:vector size="1" baseType="lpstr">
      <vt:lpstr>М И Н И С Т Е Р С Т В О   Н А   Ф И Н А Н С И Т Е</vt:lpstr>
    </vt:vector>
  </TitlesOfParts>
  <Company>MoF</Company>
  <LinksUpToDate>false</LinksUpToDate>
  <CharactersWithSpaces>94339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И Н И С Т Е Р С Т В О   Н А   Ф И Н А Н С И Т Е</dc:title>
  <dc:creator>Любомир Малчев</dc:creator>
  <cp:lastModifiedBy>КБПА ВД</cp:lastModifiedBy>
  <cp:revision>525</cp:revision>
  <cp:lastPrinted>2025-05-02T08:41:00Z</cp:lastPrinted>
  <dcterms:created xsi:type="dcterms:W3CDTF">2023-11-07T14:06:00Z</dcterms:created>
  <dcterms:modified xsi:type="dcterms:W3CDTF">2025-05-15T10:30:00Z</dcterms:modified>
</cp:coreProperties>
</file>